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spacing w:beforeAutospacing="0" w:afterAutospacing="0" w:line="360" w:lineRule="auto"/>
        <w:jc w:val="center"/>
        <w:rPr>
          <w:rFonts w:ascii="宋体" w:hAnsi="宋体" w:eastAsia="宋体" w:cs="宋体"/>
          <w:b/>
          <w:bCs/>
          <w:color w:val="333333"/>
          <w:shd w:val="clear" w:color="auto" w:fill="FFFFFF"/>
        </w:rPr>
      </w:pPr>
      <w:r>
        <w:rPr>
          <w:rFonts w:hint="eastAsia" w:ascii="宋体" w:hAnsi="宋体" w:eastAsia="宋体" w:cs="宋体"/>
          <w:b/>
          <w:bCs/>
          <w:color w:val="333333"/>
          <w:sz w:val="32"/>
          <w:szCs w:val="32"/>
          <w:shd w:val="clear" w:color="auto" w:fill="FFFFFF"/>
        </w:rPr>
        <w:t>采购需求</w:t>
      </w:r>
    </w:p>
    <w:p>
      <w:pPr>
        <w:spacing w:line="360" w:lineRule="auto"/>
        <w:rPr>
          <w:rFonts w:hint="default" w:ascii="宋体" w:hAnsi="宋体" w:eastAsia="宋体" w:cs="宋体"/>
          <w:b/>
          <w:bCs/>
          <w:sz w:val="24"/>
          <w:szCs w:val="32"/>
          <w:lang w:val="en-US"/>
        </w:rPr>
      </w:pPr>
      <w:r>
        <w:rPr>
          <w:rFonts w:hint="eastAsia" w:ascii="宋体" w:hAnsi="宋体" w:eastAsia="宋体" w:cs="宋体"/>
          <w:b/>
          <w:bCs/>
          <w:sz w:val="24"/>
          <w:szCs w:val="32"/>
        </w:rPr>
        <w:t>项目名称：</w:t>
      </w:r>
      <w:r>
        <w:rPr>
          <w:rFonts w:hint="default" w:ascii="宋体" w:hAnsi="宋体" w:eastAsia="宋体" w:cs="宋体"/>
          <w:b/>
          <w:bCs/>
          <w:sz w:val="24"/>
          <w:szCs w:val="32"/>
          <w:lang w:val="en-US"/>
        </w:rPr>
        <w:t>泸州市中医医院2023年医用耗材购置及配送服务（第十一批）采购项目</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rPr>
        <w:t>采购方式：公开</w:t>
      </w:r>
      <w:r>
        <w:rPr>
          <w:rFonts w:hint="eastAsia" w:ascii="宋体" w:hAnsi="宋体" w:eastAsia="宋体" w:cs="宋体"/>
          <w:b/>
          <w:bCs/>
          <w:sz w:val="24"/>
          <w:szCs w:val="32"/>
          <w:lang w:val="en-US" w:eastAsia="zh-CN"/>
        </w:rPr>
        <w:t>比选</w:t>
      </w:r>
    </w:p>
    <w:p>
      <w:pPr>
        <w:spacing w:line="360" w:lineRule="auto"/>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采购预算（最高限价）</w:t>
      </w:r>
      <w:r>
        <w:rPr>
          <w:rFonts w:hint="eastAsia" w:ascii="宋体" w:hAnsi="宋体" w:eastAsia="宋体" w:cs="宋体"/>
          <w:b/>
          <w:bCs/>
          <w:sz w:val="24"/>
          <w:szCs w:val="32"/>
          <w:lang w:val="en-US"/>
        </w:rPr>
        <w:t>：人民币</w:t>
      </w:r>
      <w:r>
        <w:rPr>
          <w:rFonts w:hint="eastAsia" w:ascii="宋体" w:hAnsi="宋体" w:eastAsia="宋体" w:cs="宋体"/>
          <w:b/>
          <w:bCs/>
          <w:sz w:val="24"/>
          <w:szCs w:val="32"/>
          <w:lang w:val="en-US" w:eastAsia="zh-CN"/>
        </w:rPr>
        <w:t>3515577.5</w:t>
      </w:r>
      <w:r>
        <w:rPr>
          <w:rFonts w:hint="eastAsia" w:ascii="宋体" w:hAnsi="宋体" w:eastAsia="宋体" w:cs="宋体"/>
          <w:b/>
          <w:bCs/>
          <w:sz w:val="24"/>
          <w:szCs w:val="32"/>
          <w:lang w:val="en-US"/>
        </w:rPr>
        <w:t>元</w:t>
      </w:r>
      <w:r>
        <w:rPr>
          <w:rFonts w:hint="eastAsia" w:ascii="宋体" w:hAnsi="宋体" w:eastAsia="宋体" w:cs="宋体"/>
          <w:b/>
          <w:bCs/>
          <w:sz w:val="24"/>
          <w:szCs w:val="32"/>
          <w:lang w:val="en-US" w:eastAsia="zh-CN"/>
        </w:rPr>
        <w:t>；其中01包1751425元，02包722500元，03包950000元，04包91652.5元。</w:t>
      </w:r>
    </w:p>
    <w:p>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是否允许分包：不允许，详见技术参数要求。</w:t>
      </w:r>
    </w:p>
    <w:p>
      <w:pPr>
        <w:pStyle w:val="43"/>
        <w:numPr>
          <w:ilvl w:val="0"/>
          <w:numId w:val="0"/>
        </w:numPr>
        <w:ind w:left="0" w:leftChars="0" w:firstLine="0" w:firstLineChars="0"/>
        <w:rPr>
          <w:rFonts w:ascii="宋体" w:hAnsi="宋体" w:eastAsia="宋体" w:cs="宋体"/>
          <w:sz w:val="24"/>
          <w:lang w:val="zh-CN"/>
        </w:rPr>
      </w:pPr>
      <w:r>
        <w:rPr>
          <w:rFonts w:hint="eastAsia" w:ascii="宋体" w:hAnsi="宋体" w:eastAsia="宋体" w:cs="宋体"/>
          <w:kern w:val="2"/>
          <w:sz w:val="24"/>
          <w:szCs w:val="21"/>
          <w:lang w:val="zh-CN" w:eastAsia="zh-CN" w:bidi="ar-SA"/>
        </w:rPr>
        <w:t>一、</w:t>
      </w:r>
      <w:r>
        <w:rPr>
          <w:rFonts w:hint="eastAsia" w:ascii="宋体" w:hAnsi="宋体" w:eastAsia="宋体" w:cs="宋体"/>
          <w:b/>
          <w:bCs/>
          <w:sz w:val="24"/>
          <w:szCs w:val="24"/>
        </w:rPr>
        <w:t>项目情况简介</w:t>
      </w:r>
    </w:p>
    <w:p>
      <w:pPr>
        <w:pStyle w:val="23"/>
        <w:ind w:firstLine="0" w:firstLineChars="0"/>
        <w:rPr>
          <w:rFonts w:hAnsi="宋体" w:cs="宋体"/>
          <w:sz w:val="24"/>
        </w:rPr>
      </w:pPr>
      <w:r>
        <w:rPr>
          <w:rFonts w:hint="eastAsia" w:hAnsi="宋体" w:cs="宋体"/>
          <w:sz w:val="24"/>
        </w:rPr>
        <w:t>1.本项目</w:t>
      </w:r>
      <w:r>
        <w:rPr>
          <w:rFonts w:hint="default" w:hAnsi="宋体" w:cs="宋体"/>
          <w:sz w:val="24"/>
          <w:lang w:val="en-US"/>
        </w:rPr>
        <w:t>1</w:t>
      </w:r>
      <w:r>
        <w:rPr>
          <w:rFonts w:hint="eastAsia" w:hAnsi="宋体" w:cs="宋体"/>
          <w:sz w:val="24"/>
        </w:rPr>
        <w:t>个包，拟采购</w:t>
      </w:r>
      <w:r>
        <w:rPr>
          <w:rFonts w:hint="eastAsia" w:hAnsi="宋体" w:cs="宋体"/>
          <w:sz w:val="24"/>
          <w:lang w:val="en-US" w:eastAsia="zh-CN"/>
        </w:rPr>
        <w:t>医用</w:t>
      </w:r>
      <w:r>
        <w:rPr>
          <w:rFonts w:hint="eastAsia" w:hAnsi="宋体" w:cs="宋体"/>
          <w:sz w:val="24"/>
        </w:rPr>
        <w:t>耗材1批及相关配送服务供应商。</w:t>
      </w:r>
    </w:p>
    <w:tbl>
      <w:tblPr>
        <w:tblStyle w:val="26"/>
        <w:tblW w:w="4989" w:type="pct"/>
        <w:tblInd w:w="0"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98"/>
        <w:gridCol w:w="905"/>
        <w:gridCol w:w="1191"/>
        <w:gridCol w:w="1881"/>
        <w:gridCol w:w="1237"/>
        <w:gridCol w:w="694"/>
        <w:gridCol w:w="1018"/>
        <w:gridCol w:w="903"/>
        <w:gridCol w:w="1513"/>
      </w:tblGrid>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包号</w:t>
            </w:r>
          </w:p>
        </w:tc>
        <w:tc>
          <w:tcPr>
            <w:tcW w:w="4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品目号</w:t>
            </w:r>
          </w:p>
        </w:tc>
        <w:tc>
          <w:tcPr>
            <w:tcW w:w="59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使用科室</w:t>
            </w:r>
          </w:p>
        </w:tc>
        <w:tc>
          <w:tcPr>
            <w:tcW w:w="9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标的名称</w:t>
            </w:r>
          </w:p>
        </w:tc>
        <w:tc>
          <w:tcPr>
            <w:tcW w:w="6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单品采购预算/最高限价最高限价（元）</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是否进口</w:t>
            </w:r>
          </w:p>
        </w:tc>
        <w:tc>
          <w:tcPr>
            <w:tcW w:w="5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是否属于医疗器械</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拟采购数量</w:t>
            </w:r>
          </w:p>
        </w:tc>
        <w:tc>
          <w:tcPr>
            <w:tcW w:w="75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单包采购预算/最高限价最高限价（元）</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30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01</w:t>
            </w:r>
          </w:p>
        </w:tc>
        <w:tc>
          <w:tcPr>
            <w:tcW w:w="4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01-01</w:t>
            </w:r>
          </w:p>
        </w:tc>
        <w:tc>
          <w:tcPr>
            <w:tcW w:w="59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骨伤三科</w:t>
            </w:r>
          </w:p>
        </w:tc>
        <w:tc>
          <w:tcPr>
            <w:tcW w:w="94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低温凝切刀（高频消融止血手术电极）</w:t>
            </w:r>
          </w:p>
        </w:tc>
        <w:tc>
          <w:tcPr>
            <w:tcW w:w="6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765</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5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w:t>
            </w:r>
          </w:p>
        </w:tc>
        <w:tc>
          <w:tcPr>
            <w:tcW w:w="75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1751425</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0" w:hRule="atLeast"/>
        </w:trPr>
        <w:tc>
          <w:tcPr>
            <w:tcW w:w="30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01-02</w:t>
            </w:r>
          </w:p>
        </w:tc>
        <w:tc>
          <w:tcPr>
            <w:tcW w:w="59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骨伤三科</w:t>
            </w:r>
          </w:p>
        </w:tc>
        <w:tc>
          <w:tcPr>
            <w:tcW w:w="94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医用冲洗器（医用脉冲冲洗器）</w:t>
            </w:r>
          </w:p>
        </w:tc>
        <w:tc>
          <w:tcPr>
            <w:tcW w:w="6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5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w:t>
            </w:r>
          </w:p>
        </w:tc>
        <w:tc>
          <w:tcPr>
            <w:tcW w:w="75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0" w:hRule="atLeast"/>
        </w:trPr>
        <w:tc>
          <w:tcPr>
            <w:tcW w:w="30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01-03</w:t>
            </w:r>
          </w:p>
        </w:tc>
        <w:tc>
          <w:tcPr>
            <w:tcW w:w="59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骨伤三科</w:t>
            </w:r>
          </w:p>
        </w:tc>
        <w:tc>
          <w:tcPr>
            <w:tcW w:w="94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一次性无菌腹腔引流导管及附件1</w:t>
            </w:r>
          </w:p>
        </w:tc>
        <w:tc>
          <w:tcPr>
            <w:tcW w:w="6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5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75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20" w:hRule="atLeast"/>
        </w:trPr>
        <w:tc>
          <w:tcPr>
            <w:tcW w:w="30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01-04</w:t>
            </w:r>
          </w:p>
        </w:tc>
        <w:tc>
          <w:tcPr>
            <w:tcW w:w="59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骨伤三科</w:t>
            </w:r>
          </w:p>
        </w:tc>
        <w:tc>
          <w:tcPr>
            <w:tcW w:w="94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一次性无菌腹腔引流导管及附件2</w:t>
            </w:r>
          </w:p>
        </w:tc>
        <w:tc>
          <w:tcPr>
            <w:tcW w:w="6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5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75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3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02</w:t>
            </w:r>
          </w:p>
        </w:tc>
        <w:tc>
          <w:tcPr>
            <w:tcW w:w="4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02-01</w:t>
            </w:r>
          </w:p>
        </w:tc>
        <w:tc>
          <w:tcPr>
            <w:tcW w:w="59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普外三科</w:t>
            </w:r>
          </w:p>
        </w:tc>
        <w:tc>
          <w:tcPr>
            <w:tcW w:w="94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血管内异物取出装置</w:t>
            </w:r>
          </w:p>
        </w:tc>
        <w:tc>
          <w:tcPr>
            <w:tcW w:w="6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5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75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722500</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0" w:hRule="atLeast"/>
        </w:trPr>
        <w:tc>
          <w:tcPr>
            <w:tcW w:w="3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03</w:t>
            </w:r>
          </w:p>
        </w:tc>
        <w:tc>
          <w:tcPr>
            <w:tcW w:w="4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03-01</w:t>
            </w:r>
          </w:p>
        </w:tc>
        <w:tc>
          <w:tcPr>
            <w:tcW w:w="59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麻醉科</w:t>
            </w:r>
          </w:p>
        </w:tc>
        <w:tc>
          <w:tcPr>
            <w:tcW w:w="94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脊髓神经刺激测试电极</w:t>
            </w:r>
          </w:p>
        </w:tc>
        <w:tc>
          <w:tcPr>
            <w:tcW w:w="6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5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75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950000</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0" w:hRule="atLeast"/>
        </w:trPr>
        <w:tc>
          <w:tcPr>
            <w:tcW w:w="30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04</w:t>
            </w:r>
          </w:p>
        </w:tc>
        <w:tc>
          <w:tcPr>
            <w:tcW w:w="4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04-01</w:t>
            </w:r>
          </w:p>
        </w:tc>
        <w:tc>
          <w:tcPr>
            <w:tcW w:w="59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老年医学科</w:t>
            </w:r>
          </w:p>
        </w:tc>
        <w:tc>
          <w:tcPr>
            <w:tcW w:w="94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一次性无菌经外周中心静脉导管套装</w:t>
            </w:r>
          </w:p>
        </w:tc>
        <w:tc>
          <w:tcPr>
            <w:tcW w:w="6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5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75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91652.5</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0" w:hRule="atLeast"/>
        </w:trPr>
        <w:tc>
          <w:tcPr>
            <w:tcW w:w="30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04-02</w:t>
            </w:r>
          </w:p>
        </w:tc>
        <w:tc>
          <w:tcPr>
            <w:tcW w:w="59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针灸、推拿、康复科</w:t>
            </w:r>
          </w:p>
        </w:tc>
        <w:tc>
          <w:tcPr>
            <w:tcW w:w="94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一次性使用无菌溶药器</w:t>
            </w:r>
          </w:p>
        </w:tc>
        <w:tc>
          <w:tcPr>
            <w:tcW w:w="6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5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8320</w:t>
            </w:r>
          </w:p>
        </w:tc>
        <w:tc>
          <w:tcPr>
            <w:tcW w:w="75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30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04-03</w:t>
            </w:r>
          </w:p>
        </w:tc>
        <w:tc>
          <w:tcPr>
            <w:tcW w:w="59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重症医学科</w:t>
            </w:r>
          </w:p>
        </w:tc>
        <w:tc>
          <w:tcPr>
            <w:tcW w:w="94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一次性使用口腔吸痰管</w:t>
            </w:r>
          </w:p>
        </w:tc>
        <w:tc>
          <w:tcPr>
            <w:tcW w:w="62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34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51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1665</w:t>
            </w:r>
          </w:p>
        </w:tc>
        <w:tc>
          <w:tcPr>
            <w:tcW w:w="75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355" w:type="pct"/>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合计金额（元）</w:t>
            </w:r>
          </w:p>
        </w:tc>
        <w:tc>
          <w:tcPr>
            <w:tcW w:w="3644" w:type="pct"/>
            <w:gridSpan w:val="6"/>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3515577.5</w:t>
            </w:r>
          </w:p>
        </w:tc>
      </w:tr>
    </w:tbl>
    <w:p>
      <w:pPr>
        <w:rPr>
          <w:rFonts w:hint="eastAsia" w:ascii="宋体" w:hAnsi="宋体" w:eastAsia="宋体" w:cs="宋体"/>
          <w:b/>
          <w:bCs/>
          <w:sz w:val="24"/>
          <w:lang w:val="zh-CN"/>
        </w:rPr>
      </w:pPr>
    </w:p>
    <w:p>
      <w:pPr>
        <w:spacing w:line="360" w:lineRule="auto"/>
        <w:rPr>
          <w:lang w:val="zh-CN"/>
        </w:rPr>
      </w:pPr>
      <w:r>
        <w:rPr>
          <w:rFonts w:hint="eastAsia" w:ascii="宋体" w:hAnsi="宋体" w:eastAsia="宋体" w:cs="宋体"/>
          <w:b/>
          <w:bCs/>
          <w:sz w:val="24"/>
          <w:lang w:val="zh-CN"/>
        </w:rPr>
        <w:t>二、供应商资格条件</w:t>
      </w:r>
    </w:p>
    <w:p>
      <w:pPr>
        <w:pStyle w:val="7"/>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1.具有独立承担民事责任的能力【①供应商若为企业法人：提供“统一社会信用代码营业执照”；未换证的提供“营业执照、税务登记证、组织机构代码证或三证合一的营业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 </w:t>
      </w:r>
    </w:p>
    <w:p>
      <w:pPr>
        <w:pStyle w:val="45"/>
        <w:adjustRightInd w:val="0"/>
        <w:snapToGrid w:val="0"/>
        <w:spacing w:line="360" w:lineRule="auto"/>
        <w:ind w:firstLine="480"/>
        <w:jc w:val="left"/>
        <w:rPr>
          <w:rFonts w:ascii="宋体" w:hAnsi="宋体" w:cs="宋体"/>
          <w:sz w:val="24"/>
        </w:rPr>
      </w:pPr>
      <w:r>
        <w:rPr>
          <w:rFonts w:hint="eastAsia" w:ascii="宋体" w:hAnsi="宋体" w:cs="宋体"/>
          <w:sz w:val="24"/>
        </w:rPr>
        <w:t>2.具有良好的商业信誉和健全的财务会计制度【具有良好的商业信誉：在响应文件中提供承诺函；健全的财务会计制度：①可在响应文件中提供2021或2022年度经审计的财务报告复印件（包含审计报告和审计报告中所涉及的财务报表和报表附注），②也可在响应文件中提供2021或2022年度供应商内部的财务报表复印件（至少包含资产负债表），③也可提供距文件递交截止日一年内银行出具的资信证明（响应文件中提供复印件），④也可提供具有健全的财务会计制度的承诺函】；</w:t>
      </w:r>
    </w:p>
    <w:p>
      <w:pPr>
        <w:pStyle w:val="45"/>
        <w:adjustRightInd w:val="0"/>
        <w:snapToGrid w:val="0"/>
        <w:spacing w:line="360" w:lineRule="auto"/>
        <w:ind w:firstLine="480"/>
        <w:jc w:val="left"/>
        <w:rPr>
          <w:rFonts w:ascii="宋体" w:hAnsi="宋体" w:cs="宋体"/>
          <w:sz w:val="24"/>
        </w:rPr>
      </w:pPr>
      <w:r>
        <w:rPr>
          <w:rFonts w:hint="eastAsia" w:ascii="宋体" w:hAnsi="宋体" w:cs="宋体"/>
          <w:sz w:val="24"/>
        </w:rPr>
        <w:t xml:space="preserve">3.具有依法缴纳税收和社会保障资金的良好记录【①可在响应文件中提供2022年1月1日至今任意一个月的缴纳税收凭证和缴纳社保相关凭证（专用收据或社会保险缴纳清单）或相关部门出具的证明材料复印件（如免税企业须提供税务机关出具的免税证明材料复印件或人社部门出具的相关证明材料），②也可在响应文件中提供具有依法缴纳税收和社会保障资金的良好记录的承诺函】； </w:t>
      </w:r>
    </w:p>
    <w:p>
      <w:pPr>
        <w:pStyle w:val="45"/>
        <w:adjustRightInd w:val="0"/>
        <w:snapToGrid w:val="0"/>
        <w:spacing w:line="360" w:lineRule="auto"/>
        <w:ind w:firstLine="480"/>
        <w:jc w:val="left"/>
        <w:rPr>
          <w:rFonts w:ascii="宋体" w:hAnsi="宋体" w:cs="宋体"/>
          <w:sz w:val="24"/>
        </w:rPr>
      </w:pPr>
      <w:r>
        <w:rPr>
          <w:rFonts w:hint="eastAsia" w:ascii="宋体" w:hAnsi="宋体" w:cs="宋体"/>
          <w:sz w:val="24"/>
        </w:rPr>
        <w:t>4.具有履行合同所必需的设备和专业技术能力</w:t>
      </w:r>
      <w:r>
        <w:rPr>
          <w:rFonts w:hint="eastAsia" w:ascii="宋体" w:hAnsi="宋体" w:cs="宋体"/>
          <w:b/>
          <w:sz w:val="24"/>
        </w:rPr>
        <w:t>【提供承诺函】</w:t>
      </w:r>
      <w:r>
        <w:rPr>
          <w:rFonts w:hint="eastAsia" w:ascii="宋体" w:hAnsi="宋体" w:cs="宋体"/>
          <w:sz w:val="24"/>
        </w:rPr>
        <w:t>；</w:t>
      </w:r>
    </w:p>
    <w:p>
      <w:pPr>
        <w:pStyle w:val="45"/>
        <w:adjustRightInd w:val="0"/>
        <w:snapToGrid w:val="0"/>
        <w:spacing w:line="360" w:lineRule="auto"/>
        <w:ind w:firstLine="480"/>
        <w:jc w:val="left"/>
        <w:rPr>
          <w:rFonts w:ascii="宋体" w:hAnsi="宋体" w:cs="宋体"/>
          <w:sz w:val="24"/>
        </w:rPr>
      </w:pPr>
      <w:r>
        <w:rPr>
          <w:rFonts w:hint="eastAsia" w:ascii="宋体" w:hAnsi="宋体" w:cs="宋体"/>
          <w:sz w:val="24"/>
        </w:rPr>
        <w:t>5.参加本次采购活动前三年内，在经营活动中没有重大违法记录</w:t>
      </w:r>
      <w:r>
        <w:rPr>
          <w:rFonts w:hint="eastAsia" w:ascii="宋体" w:hAnsi="宋体" w:cs="宋体"/>
          <w:b/>
          <w:sz w:val="24"/>
        </w:rPr>
        <w:t>【提供承诺函】；</w:t>
      </w:r>
    </w:p>
    <w:p>
      <w:pPr>
        <w:pStyle w:val="45"/>
        <w:adjustRightInd w:val="0"/>
        <w:snapToGrid w:val="0"/>
        <w:spacing w:line="360" w:lineRule="auto"/>
        <w:ind w:firstLine="480"/>
        <w:jc w:val="left"/>
        <w:rPr>
          <w:rFonts w:hint="eastAsia" w:ascii="宋体" w:hAnsi="宋体" w:cs="宋体"/>
          <w:sz w:val="24"/>
          <w:lang w:val="en-US" w:eastAsia="zh-CN"/>
        </w:rPr>
      </w:pPr>
      <w:r>
        <w:rPr>
          <w:rFonts w:hint="eastAsia" w:ascii="宋体" w:hAnsi="宋体" w:cs="宋体"/>
          <w:sz w:val="24"/>
          <w:lang w:val="en-US" w:eastAsia="zh-CN"/>
        </w:rPr>
        <w:t>6.本项目的特定资格要求：本项目中拟采购的产品为医疗器械的，投标产品须符合《医疗器械注册与备案管理办法》要求并提供产品的注册/备案证明材料【含配置清单中独立的医疗器械】；比选供应商须符合《医疗器械监督管理条例》要求并提供比选供应商经营该产品的经营许可/经营备案证明材料。【1.提供证书复印件，如：“多证合一”查看营业执照复印件；2.对医疗器械有国家行政管理部门出具的最新分类或不纳入管理的政策依据的，按最新政策提供上述证书并提供相关说明】；</w:t>
      </w:r>
    </w:p>
    <w:p>
      <w:pPr>
        <w:pStyle w:val="45"/>
        <w:shd w:val="clear"/>
        <w:adjustRightInd w:val="0"/>
        <w:snapToGrid w:val="0"/>
        <w:spacing w:line="360" w:lineRule="auto"/>
        <w:ind w:firstLine="482"/>
        <w:jc w:val="left"/>
        <w:rPr>
          <w:rFonts w:ascii="宋体" w:hAnsi="宋体" w:cs="宋体"/>
          <w:b/>
          <w:bCs w:val="0"/>
          <w:color w:val="auto"/>
          <w:sz w:val="24"/>
          <w:highlight w:val="none"/>
        </w:rPr>
      </w:pPr>
      <w:r>
        <w:rPr>
          <w:rFonts w:hint="eastAsia" w:ascii="宋体" w:hAnsi="宋体" w:cs="宋体"/>
          <w:b w:val="0"/>
          <w:bCs/>
          <w:color w:val="auto"/>
          <w:sz w:val="24"/>
          <w:highlight w:val="none"/>
          <w:lang w:val="en-US" w:eastAsia="zh-CN"/>
        </w:rPr>
        <w:t>7</w:t>
      </w:r>
      <w:r>
        <w:rPr>
          <w:rFonts w:hint="eastAsia" w:ascii="宋体" w:hAnsi="宋体" w:cs="宋体"/>
          <w:b w:val="0"/>
          <w:bCs/>
          <w:color w:val="auto"/>
          <w:sz w:val="24"/>
          <w:highlight w:val="none"/>
        </w:rPr>
        <w:t>.所有产品须在</w:t>
      </w:r>
      <w:r>
        <w:rPr>
          <w:rFonts w:hint="eastAsia" w:ascii="宋体" w:hAnsi="宋体" w:cs="宋体"/>
          <w:b w:val="0"/>
          <w:bCs/>
          <w:color w:val="auto"/>
          <w:sz w:val="24"/>
          <w:highlight w:val="none"/>
          <w:lang w:eastAsia="zh-CN"/>
        </w:rPr>
        <w:t>药品和医用耗材招采管理系统</w:t>
      </w:r>
      <w:r>
        <w:rPr>
          <w:rFonts w:hint="eastAsia" w:ascii="宋体" w:hAnsi="宋体" w:cs="宋体"/>
          <w:b w:val="0"/>
          <w:bCs/>
          <w:color w:val="auto"/>
          <w:sz w:val="24"/>
          <w:highlight w:val="none"/>
        </w:rPr>
        <w:t>进行备案</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在签订合同前向采购人提供截图</w:t>
      </w:r>
      <w:r>
        <w:rPr>
          <w:rFonts w:hint="eastAsia" w:ascii="宋体" w:hAnsi="宋体" w:cs="宋体"/>
          <w:b w:val="0"/>
          <w:bCs/>
          <w:color w:val="auto"/>
          <w:sz w:val="24"/>
          <w:highlight w:val="none"/>
        </w:rPr>
        <w:t>。</w:t>
      </w:r>
      <w:r>
        <w:rPr>
          <w:rFonts w:hint="eastAsia" w:ascii="宋体" w:hAnsi="宋体" w:cs="宋体"/>
          <w:b/>
          <w:bCs w:val="0"/>
          <w:color w:val="auto"/>
          <w:sz w:val="24"/>
          <w:highlight w:val="none"/>
        </w:rPr>
        <w:t>【提供</w:t>
      </w:r>
      <w:r>
        <w:rPr>
          <w:rFonts w:hint="eastAsia" w:ascii="宋体" w:hAnsi="宋体" w:cs="宋体"/>
          <w:b/>
          <w:bCs w:val="0"/>
          <w:color w:val="auto"/>
          <w:sz w:val="24"/>
          <w:highlight w:val="none"/>
          <w:lang w:val="en-US" w:eastAsia="zh-CN"/>
        </w:rPr>
        <w:t>承诺函</w:t>
      </w:r>
      <w:r>
        <w:rPr>
          <w:rFonts w:hint="eastAsia" w:ascii="宋体" w:hAnsi="宋体" w:cs="宋体"/>
          <w:b/>
          <w:bCs w:val="0"/>
          <w:color w:val="auto"/>
          <w:sz w:val="24"/>
          <w:highlight w:val="none"/>
        </w:rPr>
        <w:t>】</w:t>
      </w:r>
    </w:p>
    <w:p>
      <w:pPr>
        <w:pStyle w:val="22"/>
        <w:widowControl/>
        <w:spacing w:beforeAutospacing="0" w:afterAutospacing="0" w:line="360" w:lineRule="auto"/>
        <w:jc w:val="both"/>
        <w:rPr>
          <w:rFonts w:hint="eastAsia" w:ascii="宋体" w:hAnsi="宋体" w:eastAsia="宋体" w:cs="宋体"/>
          <w:b/>
          <w:bCs/>
        </w:rPr>
      </w:pPr>
    </w:p>
    <w:p>
      <w:pPr>
        <w:pStyle w:val="22"/>
        <w:widowControl/>
        <w:spacing w:beforeAutospacing="0" w:afterAutospacing="0" w:line="360" w:lineRule="auto"/>
        <w:jc w:val="both"/>
        <w:rPr>
          <w:rFonts w:ascii="宋体" w:hAnsi="宋体" w:eastAsia="宋体" w:cs="宋体"/>
          <w:b/>
          <w:bCs/>
        </w:rPr>
      </w:pPr>
      <w:r>
        <w:rPr>
          <w:rFonts w:hint="eastAsia" w:ascii="宋体" w:hAnsi="宋体" w:eastAsia="宋体" w:cs="宋体"/>
          <w:b/>
          <w:bCs/>
        </w:rPr>
        <w:t>三、商务要求</w:t>
      </w:r>
    </w:p>
    <w:p>
      <w:pPr>
        <w:pStyle w:val="22"/>
        <w:shd w:val="clear"/>
        <w:wordWrap w:val="0"/>
        <w:adjustRightInd w:val="0"/>
        <w:snapToGrid w:val="0"/>
        <w:spacing w:before="0" w:beforeAutospacing="0" w:after="0" w:afterAutospacing="0" w:line="360" w:lineRule="auto"/>
        <w:rPr>
          <w:rFonts w:cs="宋体"/>
          <w:b/>
          <w:bCs/>
          <w:sz w:val="24"/>
          <w:szCs w:val="24"/>
          <w:highlight w:val="none"/>
        </w:rPr>
      </w:pPr>
      <w:r>
        <w:rPr>
          <w:rFonts w:hint="eastAsia" w:cs="宋体"/>
          <w:b/>
          <w:bCs/>
          <w:sz w:val="24"/>
          <w:szCs w:val="24"/>
          <w:highlight w:val="none"/>
        </w:rPr>
        <w:t>1.服务期限及合同签订要求</w:t>
      </w:r>
    </w:p>
    <w:p>
      <w:pPr>
        <w:pStyle w:val="22"/>
        <w:shd w:val="clear"/>
        <w:wordWrap w:val="0"/>
        <w:adjustRightInd w:val="0"/>
        <w:snapToGrid w:val="0"/>
        <w:spacing w:before="0" w:beforeAutospacing="0" w:after="0" w:afterAutospacing="0" w:line="360" w:lineRule="auto"/>
        <w:rPr>
          <w:rFonts w:cs="宋体"/>
          <w:sz w:val="24"/>
          <w:szCs w:val="24"/>
          <w:highlight w:val="none"/>
        </w:rPr>
      </w:pPr>
      <w:r>
        <w:rPr>
          <w:rFonts w:hint="eastAsia" w:cs="宋体"/>
          <w:sz w:val="24"/>
          <w:szCs w:val="24"/>
          <w:highlight w:val="none"/>
        </w:rPr>
        <w:t>1.1服务期限：合同签订之日起</w:t>
      </w:r>
      <w:r>
        <w:rPr>
          <w:rFonts w:hint="eastAsia" w:cs="宋体"/>
          <w:sz w:val="24"/>
          <w:szCs w:val="24"/>
          <w:highlight w:val="none"/>
          <w:lang w:val="en-US" w:eastAsia="zh-CN"/>
        </w:rPr>
        <w:t>3</w:t>
      </w:r>
      <w:r>
        <w:rPr>
          <w:rFonts w:hint="eastAsia" w:cs="宋体"/>
          <w:sz w:val="24"/>
          <w:szCs w:val="24"/>
          <w:highlight w:val="none"/>
        </w:rPr>
        <w:t>年。</w:t>
      </w:r>
    </w:p>
    <w:p>
      <w:pPr>
        <w:pStyle w:val="22"/>
        <w:shd w:val="clear"/>
        <w:wordWrap w:val="0"/>
        <w:adjustRightInd w:val="0"/>
        <w:snapToGrid w:val="0"/>
        <w:spacing w:before="0" w:beforeAutospacing="0" w:after="0" w:afterAutospacing="0" w:line="360" w:lineRule="auto"/>
        <w:rPr>
          <w:rFonts w:cs="宋体"/>
          <w:sz w:val="24"/>
          <w:szCs w:val="24"/>
          <w:highlight w:val="none"/>
        </w:rPr>
      </w:pPr>
      <w:r>
        <w:rPr>
          <w:rFonts w:hint="eastAsia" w:cs="宋体"/>
          <w:sz w:val="24"/>
          <w:szCs w:val="24"/>
          <w:highlight w:val="none"/>
        </w:rPr>
        <w:t>1.2成交之日起（以成交通知书日期为准），15个工作日内到泸州市中医医院综合采购部办理相关合同签订手续，须带齐成交通知书、廉洁承诺书、履约保证金银行回执单或担保函、公司（厂家）相关资质和产品授权证书等（参照《医疗器械归档资料收集清单》），如成交供应商不能在规定的时间内与采购人签订合同的，采购人可以按照评审报告推荐的中标或者成交候选人名单排序，确定下一候选人为成交供应商，也可以重新开展采购活动。同时，将追究成交供应商的缔约过失责任。</w:t>
      </w:r>
    </w:p>
    <w:p>
      <w:pPr>
        <w:pStyle w:val="22"/>
        <w:shd w:val="clear"/>
        <w:wordWrap w:val="0"/>
        <w:adjustRightInd w:val="0"/>
        <w:snapToGrid w:val="0"/>
        <w:spacing w:before="0" w:beforeAutospacing="0" w:after="0" w:afterAutospacing="0" w:line="360" w:lineRule="auto"/>
        <w:rPr>
          <w:rFonts w:cs="宋体"/>
          <w:sz w:val="24"/>
          <w:szCs w:val="24"/>
          <w:highlight w:val="none"/>
        </w:rPr>
      </w:pPr>
      <w:r>
        <w:rPr>
          <w:rFonts w:hint="eastAsia" w:cs="宋体"/>
          <w:sz w:val="24"/>
          <w:szCs w:val="24"/>
          <w:highlight w:val="none"/>
        </w:rPr>
        <w:t>1.3合同签订后一个月为试用期。试用期内如果连续两次相同质量问题发生并整改不到位的，采购人有权取消第一名的成交资格。</w:t>
      </w:r>
    </w:p>
    <w:p>
      <w:pPr>
        <w:pStyle w:val="22"/>
        <w:shd w:val="clear"/>
        <w:wordWrap w:val="0"/>
        <w:adjustRightInd w:val="0"/>
        <w:snapToGrid w:val="0"/>
        <w:spacing w:before="0" w:beforeAutospacing="0" w:after="0" w:afterAutospacing="0" w:line="360" w:lineRule="auto"/>
        <w:rPr>
          <w:rFonts w:cs="宋体"/>
          <w:sz w:val="24"/>
          <w:szCs w:val="24"/>
          <w:highlight w:val="none"/>
        </w:rPr>
      </w:pPr>
      <w:r>
        <w:rPr>
          <w:rFonts w:hint="eastAsia" w:cs="宋体"/>
          <w:sz w:val="24"/>
          <w:szCs w:val="24"/>
          <w:highlight w:val="none"/>
        </w:rPr>
        <w:t>2.服务及交货地点：泸州市中医医院指定的地点。</w:t>
      </w:r>
    </w:p>
    <w:p>
      <w:pPr>
        <w:pStyle w:val="22"/>
        <w:shd w:val="clear"/>
        <w:wordWrap w:val="0"/>
        <w:adjustRightInd w:val="0"/>
        <w:snapToGrid w:val="0"/>
        <w:spacing w:before="0" w:beforeAutospacing="0" w:after="0" w:afterAutospacing="0" w:line="360" w:lineRule="auto"/>
        <w:rPr>
          <w:rFonts w:cs="宋体"/>
          <w:sz w:val="24"/>
          <w:szCs w:val="24"/>
          <w:highlight w:val="none"/>
        </w:rPr>
      </w:pPr>
      <w:r>
        <w:rPr>
          <w:rFonts w:hint="eastAsia" w:cs="宋体"/>
          <w:sz w:val="24"/>
          <w:szCs w:val="24"/>
          <w:highlight w:val="none"/>
        </w:rPr>
        <w:t>3.付款方法和条件：根据采购人的实际入库数量，验收合格后，在医学装备部办理入出库手续交财务科，付款周期6个月，请供应商自行核算资金利息。</w:t>
      </w:r>
    </w:p>
    <w:p>
      <w:pPr>
        <w:pStyle w:val="22"/>
        <w:shd w:val="clear"/>
        <w:wordWrap w:val="0"/>
        <w:adjustRightInd w:val="0"/>
        <w:snapToGrid w:val="0"/>
        <w:spacing w:before="0" w:beforeAutospacing="0" w:after="0" w:afterAutospacing="0" w:line="360" w:lineRule="auto"/>
        <w:rPr>
          <w:rFonts w:cs="宋体"/>
          <w:sz w:val="24"/>
          <w:szCs w:val="24"/>
          <w:highlight w:val="none"/>
        </w:rPr>
      </w:pPr>
      <w:r>
        <w:rPr>
          <w:rFonts w:hint="eastAsia" w:cs="宋体"/>
          <w:sz w:val="24"/>
          <w:szCs w:val="24"/>
          <w:highlight w:val="none"/>
        </w:rPr>
        <w:t>4.比选响应报价要求及货款结算金额：</w:t>
      </w:r>
    </w:p>
    <w:p>
      <w:pPr>
        <w:pStyle w:val="22"/>
        <w:shd w:val="clear"/>
        <w:wordWrap w:val="0"/>
        <w:adjustRightInd w:val="0"/>
        <w:snapToGrid w:val="0"/>
        <w:spacing w:before="0" w:beforeAutospacing="0" w:after="0" w:afterAutospacing="0" w:line="360" w:lineRule="auto"/>
        <w:rPr>
          <w:rFonts w:hint="eastAsia" w:cs="宋体"/>
          <w:sz w:val="24"/>
          <w:szCs w:val="24"/>
          <w:highlight w:val="none"/>
        </w:rPr>
      </w:pPr>
      <w:r>
        <w:rPr>
          <w:rFonts w:hint="eastAsia" w:cs="宋体"/>
          <w:sz w:val="24"/>
          <w:szCs w:val="24"/>
          <w:highlight w:val="none"/>
        </w:rPr>
        <w:t>4.1报价要求：</w:t>
      </w:r>
    </w:p>
    <w:p>
      <w:pPr>
        <w:pStyle w:val="22"/>
        <w:shd w:val="clear"/>
        <w:wordWrap w:val="0"/>
        <w:adjustRightInd w:val="0"/>
        <w:snapToGrid w:val="0"/>
        <w:spacing w:before="0" w:beforeAutospacing="0" w:after="0" w:afterAutospacing="0" w:line="360" w:lineRule="auto"/>
        <w:rPr>
          <w:rFonts w:hint="eastAsia" w:cs="宋体"/>
          <w:b/>
          <w:bCs/>
          <w:sz w:val="24"/>
          <w:szCs w:val="24"/>
          <w:highlight w:val="none"/>
        </w:rPr>
      </w:pPr>
      <w:r>
        <w:rPr>
          <w:rFonts w:hint="eastAsia" w:cs="宋体"/>
          <w:sz w:val="24"/>
          <w:szCs w:val="24"/>
          <w:highlight w:val="none"/>
          <w:lang w:val="en-US" w:eastAsia="zh-CN"/>
        </w:rPr>
        <w:t>4.1.1.</w:t>
      </w:r>
      <w:r>
        <w:rPr>
          <w:rFonts w:hint="eastAsia" w:cs="宋体"/>
          <w:b/>
          <w:bCs/>
          <w:sz w:val="24"/>
          <w:szCs w:val="24"/>
          <w:highlight w:val="none"/>
        </w:rPr>
        <w:t>每个参选产品单价不得高于</w:t>
      </w:r>
      <w:r>
        <w:rPr>
          <w:rFonts w:hint="eastAsia" w:cs="宋体"/>
          <w:b/>
          <w:bCs/>
          <w:sz w:val="24"/>
          <w:szCs w:val="24"/>
          <w:highlight w:val="none"/>
          <w:lang w:eastAsia="zh-CN"/>
        </w:rPr>
        <w:t>药品和医用耗材招采管理系统</w:t>
      </w:r>
      <w:r>
        <w:rPr>
          <w:rFonts w:hint="eastAsia" w:cs="宋体"/>
          <w:b/>
          <w:bCs/>
          <w:sz w:val="24"/>
          <w:szCs w:val="24"/>
          <w:highlight w:val="none"/>
        </w:rPr>
        <w:t>公布的“截止上月末全省医疗机构加权平均价”，同时也不得高于本项目规定的单品最高限价，否则报价将视为无效报价。</w:t>
      </w:r>
    </w:p>
    <w:p>
      <w:pPr>
        <w:pStyle w:val="22"/>
        <w:shd w:val="clear"/>
        <w:wordWrap w:val="0"/>
        <w:adjustRightInd w:val="0"/>
        <w:snapToGrid w:val="0"/>
        <w:spacing w:before="0" w:beforeAutospacing="0" w:after="0" w:afterAutospacing="0" w:line="360" w:lineRule="auto"/>
        <w:rPr>
          <w:rFonts w:hint="default" w:cs="宋体"/>
          <w:b/>
          <w:bCs/>
          <w:sz w:val="24"/>
          <w:szCs w:val="24"/>
          <w:highlight w:val="none"/>
          <w:lang w:val="en-US" w:eastAsia="zh-CN"/>
        </w:rPr>
      </w:pPr>
      <w:r>
        <w:rPr>
          <w:rFonts w:hint="eastAsia" w:cs="宋体"/>
          <w:b/>
          <w:bCs/>
          <w:sz w:val="24"/>
          <w:szCs w:val="24"/>
          <w:highlight w:val="none"/>
          <w:lang w:val="en-US" w:eastAsia="zh-CN"/>
        </w:rPr>
        <w:t>4.1.2.本项目报价在根据给出的最高限价的基础上自行填写单品报价。</w:t>
      </w:r>
    </w:p>
    <w:p>
      <w:pPr>
        <w:pStyle w:val="22"/>
        <w:keepNext w:val="0"/>
        <w:keepLines w:val="0"/>
        <w:pageBreakBefore w:val="0"/>
        <w:shd w:val="clear"/>
        <w:kinsoku/>
        <w:wordWrap w:val="0"/>
        <w:overflowPunct/>
        <w:topLinePunct w:val="0"/>
        <w:autoSpaceDE/>
        <w:autoSpaceDN/>
        <w:bidi w:val="0"/>
        <w:adjustRightInd w:val="0"/>
        <w:snapToGrid w:val="0"/>
        <w:spacing w:before="0" w:beforeAutospacing="0" w:after="0" w:afterAutospacing="0" w:line="460" w:lineRule="exact"/>
        <w:textAlignment w:val="auto"/>
        <w:rPr>
          <w:rFonts w:hint="default" w:eastAsia="宋体" w:cs="宋体"/>
          <w:b/>
          <w:bCs/>
          <w:color w:val="auto"/>
          <w:sz w:val="24"/>
          <w:szCs w:val="24"/>
          <w:highlight w:val="none"/>
          <w:lang w:val="en-US" w:eastAsia="zh-CN"/>
        </w:rPr>
      </w:pPr>
      <w:r>
        <w:rPr>
          <w:rFonts w:hint="eastAsia" w:cs="宋体"/>
          <w:b/>
          <w:bCs/>
          <w:color w:val="auto"/>
          <w:sz w:val="24"/>
          <w:szCs w:val="24"/>
          <w:highlight w:val="none"/>
          <w:lang w:val="en-US" w:eastAsia="zh-CN"/>
        </w:rPr>
        <w:t>4.1.3.本项目采购的产品均为“药品和医用耗材招采管理系统”上挂网的产品，供应商须承诺：如在服务期内，供应商在本项目中的单品报价低于管理系统上显示的最低价的，将按成交金额（供应商在本项目中的单品报价）进行结算，且结算金额将在“药品和医用耗材招采管理系统”上进行挂网公示，供应商在报价时须自行考虑市场风险,如供应商不按上述要求进行挂网公示，采购人有权取消其中标资格并纳入采购人的不良行为供应商名单，供应商将承担因此带来的一切责任及风险，采购人有权终止采购合同重新进行采购且不承担任何责任。【在响应文件中单独提供承诺函】</w:t>
      </w:r>
    </w:p>
    <w:p>
      <w:pPr>
        <w:pStyle w:val="22"/>
        <w:keepNext w:val="0"/>
        <w:keepLines w:val="0"/>
        <w:pageBreakBefore w:val="0"/>
        <w:shd w:val="clear"/>
        <w:kinsoku/>
        <w:wordWrap w:val="0"/>
        <w:overflowPunct/>
        <w:topLinePunct w:val="0"/>
        <w:autoSpaceDE/>
        <w:autoSpaceDN/>
        <w:bidi w:val="0"/>
        <w:adjustRightInd w:val="0"/>
        <w:snapToGrid w:val="0"/>
        <w:spacing w:before="0" w:beforeAutospacing="0" w:after="0" w:afterAutospacing="0" w:line="460" w:lineRule="exact"/>
        <w:textAlignment w:val="auto"/>
        <w:rPr>
          <w:rFonts w:hint="eastAsia" w:cs="宋体"/>
          <w:sz w:val="24"/>
          <w:szCs w:val="24"/>
          <w:highlight w:val="none"/>
        </w:rPr>
      </w:pPr>
      <w:r>
        <w:rPr>
          <w:rFonts w:hint="eastAsia" w:cs="宋体"/>
          <w:sz w:val="24"/>
          <w:szCs w:val="24"/>
          <w:highlight w:val="none"/>
        </w:rPr>
        <w:t>4.2 按月动态结算，合同最终结算价格=∑单品单价*采购人实际采购数量；结算</w:t>
      </w:r>
      <w:r>
        <w:rPr>
          <w:rFonts w:hint="eastAsia" w:cs="宋体"/>
          <w:sz w:val="24"/>
          <w:szCs w:val="24"/>
          <w:highlight w:val="none"/>
          <w:lang w:val="en-US" w:eastAsia="zh-CN"/>
        </w:rPr>
        <w:t>当</w:t>
      </w:r>
      <w:r>
        <w:rPr>
          <w:rFonts w:hint="eastAsia" w:cs="宋体"/>
          <w:sz w:val="24"/>
          <w:szCs w:val="24"/>
          <w:highlight w:val="none"/>
        </w:rPr>
        <w:t>月，</w:t>
      </w:r>
      <w:r>
        <w:rPr>
          <w:rFonts w:hint="eastAsia" w:cs="宋体"/>
          <w:sz w:val="24"/>
          <w:szCs w:val="24"/>
          <w:highlight w:val="none"/>
          <w:lang w:val="en-US" w:eastAsia="zh-CN"/>
        </w:rPr>
        <w:t>在</w:t>
      </w:r>
      <w:r>
        <w:rPr>
          <w:rFonts w:hint="eastAsia" w:cs="宋体"/>
          <w:b/>
          <w:bCs/>
          <w:color w:val="auto"/>
          <w:sz w:val="24"/>
          <w:szCs w:val="24"/>
          <w:highlight w:val="none"/>
          <w:lang w:val="en-US" w:eastAsia="zh-CN"/>
        </w:rPr>
        <w:t>“药品和医用耗材招采管理系统”</w:t>
      </w:r>
      <w:r>
        <w:rPr>
          <w:rFonts w:hint="eastAsia" w:cs="宋体"/>
          <w:sz w:val="24"/>
          <w:szCs w:val="24"/>
          <w:highlight w:val="none"/>
        </w:rPr>
        <w:t>公布的“截止上月末全省医疗机构加权平均价”</w:t>
      </w:r>
      <w:r>
        <w:rPr>
          <w:rFonts w:hint="eastAsia" w:cs="宋体"/>
          <w:sz w:val="24"/>
          <w:szCs w:val="24"/>
          <w:highlight w:val="none"/>
          <w:lang w:eastAsia="zh-CN"/>
        </w:rPr>
        <w:t>、</w:t>
      </w:r>
      <w:r>
        <w:rPr>
          <w:rFonts w:hint="eastAsia" w:cs="宋体"/>
          <w:sz w:val="24"/>
          <w:szCs w:val="24"/>
          <w:highlight w:val="none"/>
        </w:rPr>
        <w:t>“联动参考价”</w:t>
      </w:r>
      <w:r>
        <w:rPr>
          <w:rFonts w:hint="eastAsia" w:cs="宋体"/>
          <w:sz w:val="24"/>
          <w:szCs w:val="24"/>
          <w:highlight w:val="none"/>
          <w:lang w:eastAsia="zh-CN"/>
        </w:rPr>
        <w:t>、“</w:t>
      </w:r>
      <w:r>
        <w:rPr>
          <w:rFonts w:hint="eastAsia" w:cs="宋体"/>
          <w:sz w:val="24"/>
          <w:szCs w:val="24"/>
          <w:highlight w:val="none"/>
          <w:lang w:val="en-US" w:eastAsia="zh-CN"/>
        </w:rPr>
        <w:t>我省最高参考价</w:t>
      </w:r>
      <w:r>
        <w:rPr>
          <w:rFonts w:hint="eastAsia" w:cs="宋体"/>
          <w:sz w:val="24"/>
          <w:szCs w:val="24"/>
          <w:highlight w:val="none"/>
          <w:lang w:eastAsia="zh-CN"/>
        </w:rPr>
        <w:t>”</w:t>
      </w:r>
      <w:r>
        <w:rPr>
          <w:rFonts w:hint="eastAsia" w:cs="宋体"/>
          <w:sz w:val="24"/>
          <w:szCs w:val="24"/>
          <w:highlight w:val="none"/>
        </w:rPr>
        <w:t>及“本次采购的成交单价”，取</w:t>
      </w:r>
      <w:r>
        <w:rPr>
          <w:rFonts w:hint="eastAsia" w:cs="宋体"/>
          <w:sz w:val="24"/>
          <w:szCs w:val="24"/>
          <w:highlight w:val="none"/>
          <w:lang w:val="en-US" w:eastAsia="zh-CN"/>
        </w:rPr>
        <w:t>四</w:t>
      </w:r>
      <w:r>
        <w:rPr>
          <w:rFonts w:hint="eastAsia" w:cs="宋体"/>
          <w:sz w:val="24"/>
          <w:szCs w:val="24"/>
          <w:highlight w:val="none"/>
        </w:rPr>
        <w:t>者最低价进行结算。</w:t>
      </w:r>
    </w:p>
    <w:p>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line="460" w:lineRule="exact"/>
        <w:textAlignment w:val="auto"/>
        <w:rPr>
          <w:b/>
          <w:bCs/>
          <w:color w:val="auto"/>
          <w:sz w:val="24"/>
          <w:szCs w:val="24"/>
          <w:highlight w:val="none"/>
        </w:rPr>
      </w:pPr>
      <w:r>
        <w:rPr>
          <w:rFonts w:hint="eastAsia" w:cs="宋体"/>
          <w:sz w:val="24"/>
          <w:szCs w:val="24"/>
          <w:highlight w:val="none"/>
        </w:rPr>
        <w:t>4.3 在</w:t>
      </w:r>
      <w:r>
        <w:rPr>
          <w:rFonts w:hint="eastAsia" w:cs="宋体"/>
          <w:sz w:val="24"/>
          <w:szCs w:val="24"/>
          <w:highlight w:val="none"/>
          <w:lang w:val="en-US" w:eastAsia="zh-CN"/>
        </w:rPr>
        <w:t>三</w:t>
      </w:r>
      <w:r>
        <w:rPr>
          <w:rFonts w:hint="eastAsia" w:cs="宋体"/>
          <w:sz w:val="24"/>
          <w:szCs w:val="24"/>
          <w:highlight w:val="none"/>
        </w:rPr>
        <w:t>年合同期限内，实际结算金额未达到成交金额总额的，以实际结算金额为准；成交金额结算完毕，合同自动终止，采购人重新实施采购。</w:t>
      </w:r>
      <w:r>
        <w:rPr>
          <w:rFonts w:hint="eastAsia" w:cs="宋体"/>
          <w:b/>
          <w:bCs/>
          <w:sz w:val="24"/>
          <w:szCs w:val="24"/>
          <w:highlight w:val="none"/>
          <w:lang w:eastAsia="zh-CN"/>
        </w:rPr>
        <w:t>在合同期内，</w:t>
      </w:r>
      <w:r>
        <w:rPr>
          <w:rFonts w:ascii="宋体" w:hAnsi="宋体" w:eastAsia="宋体" w:cs="宋体"/>
          <w:b/>
          <w:bCs/>
          <w:sz w:val="24"/>
          <w:szCs w:val="24"/>
          <w:highlight w:val="none"/>
        </w:rPr>
        <w:t>当实际结算金额达到合同总金额的70%时，供应商必须在3个工作日内主动以书面文件（加盖供应商鲜章）通知采购人；当实际结算金额达到合同总金额的100%后，供应商未经采购人（采购部门）确认仍自行继续送货，采购人对超过合同总金额部分金额不予支付，由供应商自行承担相应损失</w:t>
      </w:r>
      <w:r>
        <w:rPr>
          <w:rFonts w:ascii="宋体" w:hAnsi="宋体" w:eastAsia="宋体" w:cs="宋体"/>
          <w:sz w:val="24"/>
          <w:szCs w:val="24"/>
          <w:highlight w:val="none"/>
        </w:rPr>
        <w:t>。</w:t>
      </w:r>
    </w:p>
    <w:p>
      <w:pPr>
        <w:pStyle w:val="22"/>
        <w:keepNext w:val="0"/>
        <w:keepLines w:val="0"/>
        <w:pageBreakBefore w:val="0"/>
        <w:shd w:val="clear"/>
        <w:kinsoku/>
        <w:wordWrap w:val="0"/>
        <w:overflowPunct/>
        <w:topLinePunct w:val="0"/>
        <w:autoSpaceDE/>
        <w:autoSpaceDN/>
        <w:bidi w:val="0"/>
        <w:adjustRightInd w:val="0"/>
        <w:snapToGrid w:val="0"/>
        <w:spacing w:before="0" w:beforeAutospacing="0" w:after="0" w:afterAutospacing="0" w:line="460" w:lineRule="exact"/>
        <w:textAlignment w:val="auto"/>
        <w:rPr>
          <w:rFonts w:hint="eastAsia" w:cs="宋体"/>
          <w:b/>
          <w:bCs/>
          <w:sz w:val="24"/>
          <w:szCs w:val="24"/>
          <w:highlight w:val="none"/>
          <w:lang w:val="en-US" w:eastAsia="zh-CN"/>
        </w:rPr>
      </w:pPr>
      <w:r>
        <w:rPr>
          <w:rFonts w:hint="eastAsia" w:cs="宋体"/>
          <w:b/>
          <w:bCs/>
          <w:sz w:val="24"/>
          <w:szCs w:val="24"/>
          <w:highlight w:val="none"/>
          <w:lang w:val="en-US" w:eastAsia="zh-CN"/>
        </w:rPr>
        <w:t>4.4 因本项目中每个产品的用量为预估值，所以供应商参与本项目进行总报价只作为经济评分，不作为授予合同的成交金额，签订合同的最终金额即为每包的预算金额。</w:t>
      </w:r>
    </w:p>
    <w:p>
      <w:pPr>
        <w:pStyle w:val="22"/>
        <w:keepNext w:val="0"/>
        <w:keepLines w:val="0"/>
        <w:pageBreakBefore w:val="0"/>
        <w:shd w:val="clear"/>
        <w:kinsoku/>
        <w:wordWrap w:val="0"/>
        <w:overflowPunct/>
        <w:topLinePunct w:val="0"/>
        <w:autoSpaceDE/>
        <w:autoSpaceDN/>
        <w:bidi w:val="0"/>
        <w:adjustRightInd w:val="0"/>
        <w:snapToGrid w:val="0"/>
        <w:spacing w:before="0" w:beforeAutospacing="0" w:after="0" w:afterAutospacing="0" w:line="460" w:lineRule="exact"/>
        <w:textAlignment w:val="auto"/>
        <w:rPr>
          <w:rFonts w:hint="default" w:cs="宋体"/>
          <w:b/>
          <w:bCs/>
          <w:sz w:val="24"/>
          <w:szCs w:val="24"/>
          <w:highlight w:val="none"/>
          <w:lang w:val="en-US" w:eastAsia="zh-CN"/>
        </w:rPr>
      </w:pPr>
      <w:r>
        <w:rPr>
          <w:rFonts w:hint="eastAsia" w:cs="宋体"/>
          <w:b/>
          <w:bCs/>
          <w:sz w:val="24"/>
          <w:szCs w:val="24"/>
          <w:highlight w:val="none"/>
          <w:lang w:val="en-US" w:eastAsia="zh-CN"/>
        </w:rPr>
        <w:t>4.5本次每个单品的“预采购数量”为采购人预计需求量，数据仅作为投标人投标参考，并非采购人关于本项目做出的任何需求承诺信息。最终采购人需求供应数量以采购人合同签订后具体通知需求量为准。此后采购人实际采购需求量低于或高于本次采购的预估采购量均为合同履约过程之正常情况，故采购人不承担任何违约责任。</w:t>
      </w:r>
    </w:p>
    <w:p>
      <w:pPr>
        <w:pStyle w:val="22"/>
        <w:keepNext w:val="0"/>
        <w:keepLines w:val="0"/>
        <w:pageBreakBefore w:val="0"/>
        <w:shd w:val="clear"/>
        <w:kinsoku/>
        <w:wordWrap w:val="0"/>
        <w:overflowPunct/>
        <w:topLinePunct w:val="0"/>
        <w:autoSpaceDE/>
        <w:autoSpaceDN/>
        <w:bidi w:val="0"/>
        <w:adjustRightInd w:val="0"/>
        <w:snapToGrid w:val="0"/>
        <w:spacing w:before="0" w:beforeAutospacing="0" w:after="0" w:afterAutospacing="0" w:line="460" w:lineRule="exact"/>
        <w:textAlignment w:val="auto"/>
        <w:rPr>
          <w:rFonts w:cs="宋体"/>
          <w:b/>
          <w:bCs/>
          <w:sz w:val="24"/>
          <w:szCs w:val="24"/>
          <w:highlight w:val="none"/>
        </w:rPr>
      </w:pPr>
    </w:p>
    <w:p>
      <w:pPr>
        <w:pStyle w:val="11"/>
        <w:keepNext w:val="0"/>
        <w:keepLines w:val="0"/>
        <w:pageBreakBefore w:val="0"/>
        <w:shd w:val="clear"/>
        <w:kinsoku/>
        <w:overflowPunct/>
        <w:topLinePunct w:val="0"/>
        <w:autoSpaceDE/>
        <w:autoSpaceDN/>
        <w:bidi w:val="0"/>
        <w:adjustRightInd w:val="0"/>
        <w:snapToGrid w:val="0"/>
        <w:spacing w:after="0" w:line="460" w:lineRule="exact"/>
        <w:jc w:val="left"/>
        <w:textAlignment w:val="auto"/>
        <w:rPr>
          <w:b/>
          <w:bCs/>
          <w:sz w:val="24"/>
          <w:szCs w:val="24"/>
          <w:highlight w:val="none"/>
        </w:rPr>
      </w:pPr>
      <w:r>
        <w:rPr>
          <w:rFonts w:hint="eastAsia"/>
          <w:b/>
          <w:bCs/>
          <w:sz w:val="24"/>
          <w:szCs w:val="24"/>
          <w:highlight w:val="none"/>
        </w:rPr>
        <w:t>5.配送及服务要求：</w:t>
      </w:r>
    </w:p>
    <w:p>
      <w:pPr>
        <w:pStyle w:val="22"/>
        <w:keepNext w:val="0"/>
        <w:keepLines w:val="0"/>
        <w:pageBreakBefore w:val="0"/>
        <w:shd w:val="clear"/>
        <w:kinsoku/>
        <w:wordWrap w:val="0"/>
        <w:overflowPunct/>
        <w:topLinePunct w:val="0"/>
        <w:autoSpaceDE/>
        <w:autoSpaceDN/>
        <w:bidi w:val="0"/>
        <w:adjustRightInd w:val="0"/>
        <w:snapToGrid w:val="0"/>
        <w:spacing w:before="0" w:beforeAutospacing="0" w:after="0" w:afterAutospacing="0" w:line="460" w:lineRule="exact"/>
        <w:textAlignment w:val="auto"/>
        <w:rPr>
          <w:rFonts w:cs="宋体"/>
          <w:sz w:val="24"/>
          <w:szCs w:val="24"/>
          <w:highlight w:val="none"/>
        </w:rPr>
      </w:pPr>
      <w:r>
        <w:rPr>
          <w:rFonts w:hint="eastAsia" w:cs="宋体"/>
          <w:sz w:val="24"/>
          <w:szCs w:val="24"/>
          <w:highlight w:val="none"/>
        </w:rPr>
        <w:t>5.1在实际使用过程中如因产品自身质量原因出现异常情况，成交供应商能在收到院方口头或书面通知后请厂家或专家1日内到采购人处协助解决异常情况，相关一切费用由成交供货商负责。</w:t>
      </w:r>
    </w:p>
    <w:p>
      <w:pPr>
        <w:pStyle w:val="22"/>
        <w:shd w:val="clear"/>
        <w:wordWrap w:val="0"/>
        <w:adjustRightInd w:val="0"/>
        <w:snapToGrid w:val="0"/>
        <w:spacing w:before="0" w:beforeAutospacing="0" w:after="0" w:afterAutospacing="0" w:line="360" w:lineRule="auto"/>
        <w:rPr>
          <w:rFonts w:cs="宋体"/>
          <w:sz w:val="24"/>
          <w:szCs w:val="24"/>
          <w:highlight w:val="none"/>
        </w:rPr>
      </w:pPr>
      <w:r>
        <w:rPr>
          <w:rFonts w:hint="eastAsia" w:cs="宋体"/>
          <w:sz w:val="24"/>
          <w:szCs w:val="24"/>
          <w:highlight w:val="none"/>
        </w:rPr>
        <w:t>5.2对于一些需要指导的新产品，供应商必须做好相关培训工作，培训产生的费用由成交供货商负责。新开展的项目或同一测定项目检测方法改变升级，供货商需无条件提供货源。</w:t>
      </w:r>
    </w:p>
    <w:p>
      <w:pPr>
        <w:pStyle w:val="22"/>
        <w:shd w:val="clear"/>
        <w:wordWrap w:val="0"/>
        <w:adjustRightInd w:val="0"/>
        <w:snapToGrid w:val="0"/>
        <w:spacing w:before="0" w:beforeAutospacing="0" w:after="0" w:afterAutospacing="0" w:line="360" w:lineRule="auto"/>
        <w:rPr>
          <w:rFonts w:cs="宋体"/>
          <w:sz w:val="24"/>
          <w:szCs w:val="24"/>
          <w:highlight w:val="none"/>
        </w:rPr>
      </w:pPr>
      <w:r>
        <w:rPr>
          <w:rFonts w:hint="eastAsia" w:cs="宋体"/>
          <w:sz w:val="24"/>
          <w:szCs w:val="24"/>
          <w:highlight w:val="none"/>
        </w:rPr>
        <w:t>5.3成交供应商在服务过程中须提供至少1名经过相关培训的临床跟台人员，并提供所需的专业配套工具。</w:t>
      </w:r>
    </w:p>
    <w:p>
      <w:pPr>
        <w:pStyle w:val="22"/>
        <w:shd w:val="clear"/>
        <w:wordWrap w:val="0"/>
        <w:adjustRightInd w:val="0"/>
        <w:snapToGrid w:val="0"/>
        <w:spacing w:before="0" w:beforeAutospacing="0" w:after="0" w:afterAutospacing="0" w:line="360" w:lineRule="auto"/>
        <w:rPr>
          <w:rFonts w:cs="宋体"/>
          <w:sz w:val="24"/>
          <w:szCs w:val="24"/>
          <w:highlight w:val="none"/>
        </w:rPr>
      </w:pPr>
      <w:r>
        <w:rPr>
          <w:rFonts w:hint="eastAsia" w:cs="宋体"/>
          <w:sz w:val="24"/>
          <w:szCs w:val="24"/>
          <w:highlight w:val="none"/>
        </w:rPr>
        <w:t>5.4成交供应商在采购人所在地或周边地区设立库房，能快速提供售后服务，配送及时，一般耗材于24小时内送达，急用耗材应根据需要按时送达。同时提供产品说明书、检测报告、质量保证书、保修卡等相关资料。</w:t>
      </w:r>
    </w:p>
    <w:p>
      <w:pPr>
        <w:pStyle w:val="22"/>
        <w:shd w:val="clear"/>
        <w:wordWrap w:val="0"/>
        <w:adjustRightInd w:val="0"/>
        <w:snapToGrid w:val="0"/>
        <w:spacing w:before="0" w:beforeAutospacing="0" w:after="0" w:afterAutospacing="0" w:line="360" w:lineRule="auto"/>
        <w:rPr>
          <w:rFonts w:cs="宋体"/>
          <w:sz w:val="24"/>
          <w:szCs w:val="24"/>
          <w:highlight w:val="none"/>
        </w:rPr>
      </w:pPr>
      <w:r>
        <w:rPr>
          <w:rFonts w:hint="eastAsia" w:cs="宋体"/>
          <w:sz w:val="24"/>
          <w:szCs w:val="24"/>
          <w:highlight w:val="none"/>
        </w:rPr>
        <w:t>5.5成交供应商每次送货需由专人送货上门（不接收邮寄），当面核实清点货物后方可办理入库，且须保证货物、发票、随货同行单（公司出库单）、合格证（或检验检疫报告）一并送达，如有缺项，医院有权拒收该货物。因此造成的后果，由成交供应商承担。如在服务期内出现3次以上未按要求进行办理的，医院有权终止合同，由成交供应商承担违约责任。</w:t>
      </w:r>
    </w:p>
    <w:p>
      <w:pPr>
        <w:pStyle w:val="11"/>
        <w:shd w:val="clear"/>
        <w:adjustRightInd w:val="0"/>
        <w:snapToGrid w:val="0"/>
        <w:spacing w:after="0" w:line="360" w:lineRule="auto"/>
        <w:jc w:val="left"/>
        <w:rPr>
          <w:rFonts w:hAnsi="宋体" w:cs="宋体"/>
          <w:bCs/>
          <w:sz w:val="24"/>
          <w:szCs w:val="24"/>
          <w:highlight w:val="none"/>
        </w:rPr>
      </w:pPr>
      <w:r>
        <w:rPr>
          <w:rFonts w:hint="eastAsia"/>
          <w:b/>
          <w:bCs/>
          <w:sz w:val="24"/>
          <w:szCs w:val="24"/>
          <w:highlight w:val="none"/>
        </w:rPr>
        <w:t>6.验收标准：</w:t>
      </w:r>
      <w:r>
        <w:rPr>
          <w:rFonts w:hint="eastAsia" w:hAnsi="宋体" w:cs="宋体"/>
          <w:bCs/>
          <w:sz w:val="24"/>
          <w:szCs w:val="24"/>
          <w:highlight w:val="none"/>
        </w:rPr>
        <w:t>按采购方对耗材的验收标准进行验收。</w:t>
      </w:r>
    </w:p>
    <w:p>
      <w:pPr>
        <w:shd w:val="clear"/>
        <w:adjustRightInd w:val="0"/>
        <w:snapToGrid w:val="0"/>
        <w:spacing w:line="360" w:lineRule="auto"/>
        <w:rPr>
          <w:b/>
          <w:bCs/>
          <w:sz w:val="24"/>
          <w:szCs w:val="24"/>
          <w:highlight w:val="none"/>
        </w:rPr>
      </w:pPr>
      <w:r>
        <w:rPr>
          <w:rFonts w:hint="eastAsia"/>
          <w:b/>
          <w:bCs/>
          <w:sz w:val="24"/>
          <w:szCs w:val="24"/>
          <w:highlight w:val="none"/>
        </w:rPr>
        <w:t>7.其他商务要求</w:t>
      </w:r>
    </w:p>
    <w:p>
      <w:pPr>
        <w:shd w:val="clear"/>
        <w:adjustRightInd w:val="0"/>
        <w:snapToGrid w:val="0"/>
        <w:spacing w:line="360" w:lineRule="auto"/>
        <w:jc w:val="left"/>
        <w:rPr>
          <w:rFonts w:hAnsi="宋体" w:cs="宋体"/>
          <w:bCs/>
          <w:sz w:val="24"/>
          <w:szCs w:val="24"/>
          <w:highlight w:val="none"/>
        </w:rPr>
      </w:pPr>
      <w:r>
        <w:rPr>
          <w:rFonts w:hint="eastAsia" w:hAnsi="宋体" w:cs="宋体"/>
          <w:bCs/>
          <w:sz w:val="24"/>
          <w:szCs w:val="24"/>
          <w:highlight w:val="none"/>
        </w:rPr>
        <w:t>7.1履约保障：成交供应商在履约期间，若因国家、部门政策规定出现与合同约定相抵触时，按国家相关规定执行；成交供货商在履约过程中，若出现违法、违纪、违规行为，除承担相应责任外，采购方有权单方面取消其供货资格；成交供货商在履约过程中，若出现三次以上未按规定履约的同一违约行为时，采购方有权单方面取消其供货资格。若成交供应商提供的产品出现重大质量问题，造成恶劣影响的，采购方除按上述条款，责成赔偿，要求承担医患双方调解的费用赔付外，还有权单方面取消其供货资格。</w:t>
      </w:r>
    </w:p>
    <w:p>
      <w:pPr>
        <w:shd w:val="clear"/>
        <w:adjustRightInd w:val="0"/>
        <w:snapToGrid w:val="0"/>
        <w:spacing w:line="360" w:lineRule="auto"/>
        <w:jc w:val="left"/>
        <w:rPr>
          <w:rFonts w:hAnsi="宋体" w:cs="宋体"/>
          <w:bCs/>
          <w:sz w:val="24"/>
          <w:szCs w:val="24"/>
          <w:highlight w:val="none"/>
        </w:rPr>
      </w:pPr>
      <w:r>
        <w:rPr>
          <w:rFonts w:hint="eastAsia" w:hAnsi="宋体" w:cs="宋体"/>
          <w:bCs/>
          <w:sz w:val="24"/>
          <w:szCs w:val="24"/>
          <w:highlight w:val="none"/>
        </w:rPr>
        <w:t>7.2如果采购人在正常保管和使用前题下，因产品质量问题造成的医疗事故及纠纷，由成交供应商负责并承担财产损失赔偿责任,并承担医患双方调解的费用赔付；若涉及产品质量鉴定，由成交供应商负责委托相关具有相关检测资质的质检部门进行检测，并承担相关费用。</w:t>
      </w:r>
    </w:p>
    <w:p>
      <w:pPr>
        <w:pStyle w:val="10"/>
        <w:shd w:val="clear"/>
        <w:adjustRightInd w:val="0"/>
        <w:snapToGrid w:val="0"/>
        <w:spacing w:line="360" w:lineRule="auto"/>
        <w:rPr>
          <w:rFonts w:hAnsi="宋体" w:cs="宋体"/>
          <w:b/>
          <w:sz w:val="24"/>
          <w:highlight w:val="none"/>
        </w:rPr>
      </w:pPr>
      <w:r>
        <w:rPr>
          <w:rFonts w:hint="eastAsia" w:hAnsi="宋体" w:cs="宋体"/>
          <w:bCs/>
          <w:sz w:val="24"/>
          <w:highlight w:val="none"/>
        </w:rPr>
        <w:t>7.3</w:t>
      </w:r>
      <w:r>
        <w:rPr>
          <w:rFonts w:hint="eastAsia" w:hAnsi="宋体" w:cs="宋体"/>
          <w:b/>
          <w:sz w:val="24"/>
          <w:highlight w:val="none"/>
        </w:rPr>
        <w:t>成交供应商在与采购人签订合同时需提供制造厂家授权书和产品相关注册（备案）证书等采购人要求的相关资质证件（参照《医疗器械归档资料收集清单》执行），如不能提供,采购人有权取消其成交资格。</w:t>
      </w:r>
    </w:p>
    <w:p>
      <w:pPr>
        <w:shd w:val="clear"/>
        <w:adjustRightInd w:val="0"/>
        <w:snapToGrid w:val="0"/>
        <w:spacing w:line="360" w:lineRule="auto"/>
        <w:jc w:val="left"/>
        <w:rPr>
          <w:rFonts w:hAnsi="宋体" w:cs="宋体"/>
          <w:bCs/>
          <w:sz w:val="24"/>
          <w:szCs w:val="24"/>
          <w:highlight w:val="none"/>
        </w:rPr>
      </w:pPr>
      <w:r>
        <w:rPr>
          <w:rFonts w:hint="eastAsia" w:hAnsi="宋体" w:cs="宋体"/>
          <w:bCs/>
          <w:sz w:val="24"/>
          <w:szCs w:val="24"/>
          <w:highlight w:val="none"/>
        </w:rPr>
        <w:t>7.4成交供应商应当在成交通知书发出之日起算20日内将采购文件要求的相关资料交医院审查（不可抗力等因素除外），并按照医院审查要求补齐相关必要资料。违者，医院可按照以下原则进行处理：</w:t>
      </w:r>
      <w:r>
        <w:rPr>
          <w:rFonts w:hAnsi="宋体" w:cs="宋体"/>
          <w:bCs/>
          <w:sz w:val="24"/>
          <w:szCs w:val="24"/>
          <w:highlight w:val="none"/>
        </w:rPr>
        <w:t>①</w:t>
      </w:r>
      <w:r>
        <w:rPr>
          <w:rFonts w:hint="eastAsia" w:hAnsi="宋体" w:cs="宋体"/>
          <w:bCs/>
          <w:sz w:val="24"/>
          <w:szCs w:val="24"/>
          <w:highlight w:val="none"/>
        </w:rPr>
        <w:t>视为成交供应商放弃中标资格，由成交供应商承担缔约过失责任人民币5000元。</w:t>
      </w:r>
      <w:r>
        <w:rPr>
          <w:rFonts w:hAnsi="宋体" w:cs="宋体"/>
          <w:bCs/>
          <w:sz w:val="24"/>
          <w:szCs w:val="24"/>
          <w:highlight w:val="none"/>
        </w:rPr>
        <w:t>②</w:t>
      </w:r>
      <w:r>
        <w:rPr>
          <w:rFonts w:hint="eastAsia" w:hAnsi="宋体" w:cs="宋体"/>
          <w:bCs/>
          <w:sz w:val="24"/>
          <w:szCs w:val="24"/>
          <w:highlight w:val="none"/>
        </w:rPr>
        <w:t>医院重新开展该项采购工作。</w:t>
      </w:r>
    </w:p>
    <w:p>
      <w:pPr>
        <w:shd w:val="clear"/>
        <w:adjustRightInd w:val="0"/>
        <w:snapToGrid w:val="0"/>
        <w:spacing w:line="360" w:lineRule="auto"/>
        <w:jc w:val="left"/>
        <w:rPr>
          <w:rFonts w:hint="eastAsia" w:hAnsi="宋体" w:cs="宋体"/>
          <w:bCs/>
          <w:sz w:val="24"/>
          <w:szCs w:val="24"/>
          <w:highlight w:val="none"/>
        </w:rPr>
      </w:pPr>
      <w:r>
        <w:rPr>
          <w:rFonts w:hint="eastAsia" w:hAnsi="宋体" w:cs="宋体"/>
          <w:bCs/>
          <w:sz w:val="24"/>
          <w:szCs w:val="24"/>
          <w:highlight w:val="none"/>
        </w:rPr>
        <w:t>7.5成交供应商应当在成交通知书发出之日起算30日内与医院签订书面合同（不可抗力等因素除外）。违者，医院可按照以下原则进行处理：</w:t>
      </w:r>
      <w:r>
        <w:rPr>
          <w:rFonts w:hAnsi="宋体" w:cs="宋体"/>
          <w:bCs/>
          <w:sz w:val="24"/>
          <w:szCs w:val="24"/>
          <w:highlight w:val="none"/>
        </w:rPr>
        <w:t>①</w:t>
      </w:r>
      <w:r>
        <w:rPr>
          <w:rFonts w:hint="eastAsia" w:hAnsi="宋体" w:cs="宋体"/>
          <w:bCs/>
          <w:sz w:val="24"/>
          <w:szCs w:val="24"/>
          <w:highlight w:val="none"/>
        </w:rPr>
        <w:t>视为成交供应商拒绝与医院签订合同，取消成交供应商中标资格，由成交供应商承担缔约过失责任人民币10000元。</w:t>
      </w:r>
      <w:r>
        <w:rPr>
          <w:rFonts w:hAnsi="宋体" w:cs="宋体"/>
          <w:bCs/>
          <w:sz w:val="24"/>
          <w:szCs w:val="24"/>
          <w:highlight w:val="none"/>
        </w:rPr>
        <w:t>②</w:t>
      </w:r>
      <w:r>
        <w:rPr>
          <w:rFonts w:hint="eastAsia" w:hAnsi="宋体" w:cs="宋体"/>
          <w:bCs/>
          <w:sz w:val="24"/>
          <w:szCs w:val="24"/>
          <w:highlight w:val="none"/>
        </w:rPr>
        <w:t>原则上医院重新开展该项采购工作。</w:t>
      </w:r>
      <w:r>
        <w:rPr>
          <w:rFonts w:hAnsi="宋体" w:cs="宋体"/>
          <w:bCs/>
          <w:sz w:val="24"/>
          <w:szCs w:val="24"/>
          <w:highlight w:val="none"/>
        </w:rPr>
        <w:t>③</w:t>
      </w:r>
      <w:r>
        <w:rPr>
          <w:rFonts w:hint="eastAsia" w:hAnsi="宋体" w:cs="宋体"/>
          <w:bCs/>
          <w:sz w:val="24"/>
          <w:szCs w:val="24"/>
          <w:highlight w:val="none"/>
        </w:rPr>
        <w:t>医院也可根据评审报告推荐的成交候选人名单排序，确定下一序位候选人为成交供应商，同时进行公示。</w:t>
      </w:r>
    </w:p>
    <w:p>
      <w:pPr>
        <w:shd w:val="clear"/>
        <w:adjustRightInd w:val="0"/>
        <w:snapToGrid w:val="0"/>
        <w:spacing w:line="360" w:lineRule="auto"/>
        <w:jc w:val="left"/>
        <w:rPr>
          <w:rFonts w:hint="eastAsia" w:hAnsi="宋体" w:cs="宋体"/>
          <w:bCs/>
          <w:sz w:val="24"/>
          <w:szCs w:val="24"/>
          <w:highlight w:val="none"/>
          <w:lang w:val="en-US" w:eastAsia="zh-CN"/>
        </w:rPr>
      </w:pPr>
      <w:r>
        <w:rPr>
          <w:rFonts w:hint="eastAsia" w:hAnsi="宋体" w:cs="宋体"/>
          <w:bCs/>
          <w:sz w:val="24"/>
          <w:szCs w:val="24"/>
          <w:highlight w:val="none"/>
          <w:lang w:val="en-US" w:eastAsia="zh-CN"/>
        </w:rPr>
        <w:t>7.6合同履行期间，如出现在四川省药械集中采购及医药价格监管平台上“掉网”（即原来属于四川省药械集中采购及医药价格监管平台内的产品，后因某些原因不再属于该平台内的产品），应及时（不超过1个月）以书面的形式告之医院并中止掉网产品的供货，若未经采购人（采购部门）确认仍自行继续送货，采购人对掉网产品将不予支付，由供应商自行承担相应损失。采购人将根据相关规定对“掉网”产品重新组织招标，新合同签订后，成交供应商则不再配送本合同中的掉网产品。</w:t>
      </w:r>
    </w:p>
    <w:p>
      <w:pPr>
        <w:shd w:val="clear"/>
        <w:autoSpaceDE w:val="0"/>
        <w:autoSpaceDN w:val="0"/>
        <w:adjustRightInd w:val="0"/>
        <w:snapToGrid w:val="0"/>
        <w:spacing w:line="360" w:lineRule="auto"/>
        <w:jc w:val="left"/>
        <w:rPr>
          <w:rFonts w:hAnsi="宋体" w:cs="宋体"/>
          <w:b/>
          <w:sz w:val="24"/>
          <w:szCs w:val="24"/>
          <w:highlight w:val="none"/>
        </w:rPr>
      </w:pPr>
      <w:r>
        <w:rPr>
          <w:rFonts w:hint="eastAsia" w:hAnsi="宋体" w:cs="宋体"/>
          <w:b/>
          <w:sz w:val="24"/>
          <w:szCs w:val="24"/>
          <w:highlight w:val="none"/>
        </w:rPr>
        <w:t>8.产品质量要求：</w:t>
      </w:r>
    </w:p>
    <w:p>
      <w:pPr>
        <w:pStyle w:val="22"/>
        <w:shd w:val="clear"/>
        <w:wordWrap w:val="0"/>
        <w:adjustRightInd w:val="0"/>
        <w:snapToGrid w:val="0"/>
        <w:spacing w:before="0" w:beforeAutospacing="0" w:after="0" w:afterAutospacing="0" w:line="360" w:lineRule="auto"/>
        <w:rPr>
          <w:rFonts w:cs="宋体"/>
          <w:sz w:val="24"/>
          <w:szCs w:val="24"/>
          <w:highlight w:val="none"/>
        </w:rPr>
      </w:pPr>
      <w:r>
        <w:rPr>
          <w:rFonts w:hint="eastAsia" w:cs="宋体"/>
          <w:sz w:val="24"/>
          <w:szCs w:val="24"/>
          <w:highlight w:val="none"/>
        </w:rPr>
        <w:t>8.1成交供应商所提供的产品，若技术性能无特殊说明，则按生产企业或国家有关部门最新颁布的标准及规范为准。</w:t>
      </w:r>
    </w:p>
    <w:p>
      <w:pPr>
        <w:pStyle w:val="22"/>
        <w:shd w:val="clear"/>
        <w:wordWrap w:val="0"/>
        <w:adjustRightInd w:val="0"/>
        <w:snapToGrid w:val="0"/>
        <w:spacing w:before="0" w:beforeAutospacing="0" w:after="0" w:afterAutospacing="0" w:line="360" w:lineRule="auto"/>
        <w:rPr>
          <w:rFonts w:cs="宋体"/>
          <w:sz w:val="24"/>
          <w:szCs w:val="24"/>
          <w:highlight w:val="none"/>
        </w:rPr>
      </w:pPr>
      <w:r>
        <w:rPr>
          <w:rFonts w:hint="eastAsia" w:cs="宋体"/>
          <w:sz w:val="24"/>
          <w:szCs w:val="24"/>
          <w:highlight w:val="none"/>
        </w:rPr>
        <w:t>8.2成交供应商应保证所有货物是全新、未使用过的原厂原装合格正品(最大容量产品)，并完全符合国家规定的质量、规格和性能要求。产品包装（含最小包装）必须符合国家关于医疗器械的相关法律要求。</w:t>
      </w:r>
    </w:p>
    <w:p>
      <w:pPr>
        <w:pStyle w:val="22"/>
        <w:shd w:val="clear"/>
        <w:wordWrap w:val="0"/>
        <w:adjustRightInd w:val="0"/>
        <w:snapToGrid w:val="0"/>
        <w:spacing w:before="0" w:beforeAutospacing="0" w:after="0" w:afterAutospacing="0" w:line="360" w:lineRule="auto"/>
        <w:rPr>
          <w:rFonts w:cs="宋体"/>
          <w:sz w:val="24"/>
          <w:szCs w:val="24"/>
          <w:highlight w:val="none"/>
        </w:rPr>
      </w:pPr>
      <w:r>
        <w:rPr>
          <w:rFonts w:hint="eastAsia" w:cs="宋体"/>
          <w:sz w:val="24"/>
          <w:szCs w:val="24"/>
          <w:highlight w:val="none"/>
        </w:rPr>
        <w:t>8.3成交供应商所提供的货物的包装均为货物出厂时原包装，并保证所提供的货物在装卸、运输和仓储过程中有足够的包装保护，防止货物受潮、生锈、被腐蚀、受到冲撞以及其他不可预见的损坏。</w:t>
      </w:r>
    </w:p>
    <w:p>
      <w:pPr>
        <w:shd w:val="clear"/>
        <w:adjustRightInd w:val="0"/>
        <w:snapToGrid w:val="0"/>
        <w:spacing w:line="360" w:lineRule="auto"/>
        <w:rPr>
          <w:rFonts w:cs="宋体"/>
          <w:sz w:val="24"/>
          <w:szCs w:val="24"/>
          <w:highlight w:val="none"/>
        </w:rPr>
      </w:pPr>
      <w:r>
        <w:rPr>
          <w:rFonts w:hint="eastAsia" w:cs="宋体"/>
          <w:sz w:val="24"/>
          <w:szCs w:val="24"/>
          <w:highlight w:val="none"/>
        </w:rPr>
        <w:t>9.关于成交价格挂网要求双方在合同中进行约定。</w:t>
      </w:r>
    </w:p>
    <w:p>
      <w:pPr>
        <w:shd w:val="clear"/>
        <w:adjustRightInd w:val="0"/>
        <w:snapToGrid w:val="0"/>
        <w:spacing w:line="360" w:lineRule="auto"/>
        <w:rPr>
          <w:rFonts w:ascii="Times New Roman" w:cs="宋体"/>
          <w:sz w:val="24"/>
          <w:szCs w:val="24"/>
          <w:highlight w:val="none"/>
        </w:rPr>
      </w:pPr>
      <w:r>
        <w:rPr>
          <w:rFonts w:hint="eastAsia" w:ascii="Times New Roman" w:cs="宋体"/>
          <w:sz w:val="24"/>
          <w:szCs w:val="24"/>
          <w:highlight w:val="none"/>
        </w:rPr>
        <w:t>10.投标供应商自行核实投标产品须在国家医疗保障局下发的医用耗材最新目录库中，医用耗材国家编码能确保医保患者正常联网结算。若因投标产品未纳入四川省医疗保障局医用耗材最新目录库而导致医保患者无法正常联网结算的，供应商须及时并积极配合相关部门协调处理。</w:t>
      </w:r>
    </w:p>
    <w:p>
      <w:pPr>
        <w:shd w:val="clear"/>
        <w:adjustRightInd w:val="0"/>
        <w:snapToGrid w:val="0"/>
        <w:spacing w:line="360" w:lineRule="auto"/>
        <w:rPr>
          <w:rFonts w:hint="eastAsia" w:hAnsi="宋体" w:cs="宋体"/>
          <w:b/>
          <w:bCs/>
          <w:sz w:val="24"/>
          <w:szCs w:val="24"/>
          <w:highlight w:val="none"/>
        </w:rPr>
      </w:pPr>
      <w:r>
        <w:rPr>
          <w:rFonts w:hint="eastAsia" w:ascii="Times New Roman" w:cs="宋体"/>
          <w:sz w:val="24"/>
          <w:szCs w:val="24"/>
          <w:highlight w:val="none"/>
        </w:rPr>
        <w:t>11.成交供应商提供到采购人现场的产品有效期自产品通过最终验收之日起计算，不低于有效期限的三分之二（如：产品有效期为出厂后12个月，送至采购人处时，有效期还应剩余8个月以上）。</w:t>
      </w:r>
    </w:p>
    <w:p>
      <w:pPr>
        <w:pStyle w:val="11"/>
        <w:rPr>
          <w:rFonts w:hint="eastAsia" w:ascii="宋体" w:hAnsi="宋体" w:eastAsia="宋体" w:cs="宋体"/>
          <w:b/>
          <w:bCs/>
          <w:sz w:val="24"/>
          <w:szCs w:val="24"/>
        </w:rPr>
      </w:pPr>
      <w:r>
        <w:rPr>
          <w:rFonts w:hint="eastAsia" w:ascii="宋体" w:hAnsi="宋体" w:eastAsia="宋体" w:cs="宋体"/>
          <w:b/>
          <w:bCs/>
          <w:sz w:val="24"/>
          <w:szCs w:val="24"/>
        </w:rPr>
        <w:t>注：以上商务要求为实质性条款，均不允许负偏离，负偏离视为非实质性响应投标文件，做无效投标处理，有明确要求的须按要求提供证明材料，所有商务要求均须按招标文件要求在商务响应表中予以应答。</w:t>
      </w:r>
    </w:p>
    <w:p>
      <w:pPr>
        <w:pStyle w:val="11"/>
        <w:rPr>
          <w:rFonts w:hint="eastAsia" w:ascii="宋体" w:hAnsi="宋体" w:eastAsia="宋体" w:cs="宋体"/>
          <w:b/>
          <w:bCs/>
          <w:sz w:val="24"/>
          <w:szCs w:val="24"/>
        </w:rPr>
      </w:pPr>
    </w:p>
    <w:p>
      <w:pPr>
        <w:pStyle w:val="11"/>
        <w:rPr>
          <w:rFonts w:hint="eastAsia" w:ascii="宋体" w:hAnsi="宋体" w:eastAsia="宋体" w:cs="宋体"/>
          <w:b/>
          <w:bCs/>
          <w:sz w:val="24"/>
          <w:szCs w:val="24"/>
        </w:rPr>
      </w:pPr>
    </w:p>
    <w:p>
      <w:pPr>
        <w:pStyle w:val="11"/>
        <w:rPr>
          <w:rFonts w:hint="eastAsia" w:ascii="宋体" w:hAnsi="宋体" w:eastAsia="宋体" w:cs="宋体"/>
          <w:b/>
          <w:bCs/>
          <w:sz w:val="24"/>
          <w:szCs w:val="24"/>
          <w:lang w:val="en-US" w:eastAsia="zh-CN"/>
        </w:rPr>
      </w:pPr>
    </w:p>
    <w:p>
      <w:pPr>
        <w:pStyle w:val="11"/>
        <w:rPr>
          <w:rFonts w:hint="eastAsia" w:ascii="宋体" w:hAnsi="宋体" w:eastAsia="宋体" w:cs="宋体"/>
          <w:b/>
          <w:bCs/>
          <w:sz w:val="24"/>
          <w:szCs w:val="24"/>
          <w:lang w:val="en-US" w:eastAsia="zh-CN"/>
        </w:rPr>
      </w:pPr>
    </w:p>
    <w:p>
      <w:pPr>
        <w:pStyle w:val="11"/>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、产品技术要求</w:t>
      </w:r>
    </w:p>
    <w:tbl>
      <w:tblPr>
        <w:tblStyle w:val="26"/>
        <w:tblW w:w="4996" w:type="pct"/>
        <w:tblInd w:w="0"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20"/>
        <w:gridCol w:w="2249"/>
        <w:gridCol w:w="6785"/>
      </w:tblGrid>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462" w:type="pct"/>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品目号</w:t>
            </w:r>
          </w:p>
        </w:tc>
        <w:tc>
          <w:tcPr>
            <w:tcW w:w="1129" w:type="pct"/>
            <w:tcBorders>
              <w:tl2br w:val="nil"/>
              <w:tr2bl w:val="nil"/>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3407" w:type="pct"/>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产品技术要求</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462" w:type="pct"/>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01-01</w:t>
            </w:r>
          </w:p>
        </w:tc>
        <w:tc>
          <w:tcPr>
            <w:tcW w:w="2249"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低温凝切刀（高频消融止血手术电极）</w:t>
            </w:r>
          </w:p>
        </w:tc>
        <w:tc>
          <w:tcPr>
            <w:tcW w:w="3407" w:type="pct"/>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★1、用途：在手术过程中与高频发生器和/或吸引装置配合使用，用于术中表皮、组织、脏器部位的低温消融、电切与电凝；</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▲2、包装：1把/盒；</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▲3、规格：至少包含直径0.3-1.2mm，电极长度38-343mm，电线长度≥2900mm；</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4、组成：至少包含手柄、绝缘套管、护套、塑料柄部、手控按钮开关、支架、管道电缆线和插头组成；</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5、材质：合金；</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6、灭菌产品，一次性使用；</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7、有效期：有效期≥2年；</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8、前端组件硬度≥150HV10，前端金属外表面粗糙度Ra≤0.8μm；</w:t>
            </w:r>
          </w:p>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▲9、手柄与电缆线应导通良好，阻抗应≤10Ω。</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462" w:type="pct"/>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01-02</w:t>
            </w:r>
          </w:p>
        </w:tc>
        <w:tc>
          <w:tcPr>
            <w:tcW w:w="2249"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医用冲洗器（医用脉冲冲洗器）</w:t>
            </w:r>
          </w:p>
        </w:tc>
        <w:tc>
          <w:tcPr>
            <w:tcW w:w="3407" w:type="pct"/>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★1、用途：骨科、创伤手术创面、软组织冲洗，去除感染和清晰手术视野等；</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▲2、包装：1个/盒；</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3、组成：至少由淋浴状喷管、防溅窜轮体(含锁环，扳机)、进液管、电池盒和吸引管组成；</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4、材质：PVC、聚丙烯、ABS；</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5、灭菌产品，一次性使用；</w:t>
            </w:r>
          </w:p>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6、有效期≥2年</w:t>
            </w:r>
            <w:r>
              <w:rPr>
                <w:rFonts w:hint="eastAsia" w:hAnsi="宋体" w:cs="宋体"/>
                <w:i w:val="0"/>
                <w:iCs w:val="0"/>
                <w:color w:val="auto"/>
                <w:kern w:val="0"/>
                <w:sz w:val="21"/>
                <w:szCs w:val="21"/>
                <w:highlight w:val="none"/>
                <w:u w:val="none"/>
                <w:lang w:val="en-US" w:eastAsia="zh-CN" w:bidi="ar"/>
              </w:rPr>
              <w:t>。</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62" w:type="pct"/>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01-03</w:t>
            </w:r>
          </w:p>
        </w:tc>
        <w:tc>
          <w:tcPr>
            <w:tcW w:w="2249"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一次性无菌腹腔引流导管及附件1</w:t>
            </w:r>
          </w:p>
        </w:tc>
        <w:tc>
          <w:tcPr>
            <w:tcW w:w="3407" w:type="pct"/>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★1、用途:供体表创伤或切口引流用；</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▲2、包装:1根/包；</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▲3、规格：T型，管径至少包含:14Fr、18Fr、22Fr*36cm；14Fr、18Fr、22Fr*28cm；</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4、组成：至少由引流段，内增强连接管和连接管组成；</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5、材质:管体为聚氨酯材质；</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6、灭菌产品、一次性使用；</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7、有效期≥2年；</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▲8、双侧螺纹≥四通道；</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▲9、防折段有内凸</w:t>
            </w:r>
            <w:r>
              <w:rPr>
                <w:rFonts w:hint="eastAsia" w:hAnsi="宋体" w:cs="宋体"/>
                <w:i w:val="0"/>
                <w:iCs w:val="0"/>
                <w:color w:val="auto"/>
                <w:kern w:val="0"/>
                <w:sz w:val="21"/>
                <w:szCs w:val="21"/>
                <w:highlight w:val="none"/>
                <w:u w:val="none"/>
                <w:lang w:val="en-US" w:eastAsia="zh-CN" w:bidi="ar"/>
              </w:rPr>
              <w:t>，有效防止导管折断，保证褶皱时仍能保持引流通畅；</w:t>
            </w:r>
          </w:p>
          <w:p>
            <w:pPr>
              <w:pStyle w:val="10"/>
              <w:shd w:val="clea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▲10、管体需透明，便于准确观察引流液体情况。</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462" w:type="pct"/>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01-04</w:t>
            </w:r>
          </w:p>
        </w:tc>
        <w:tc>
          <w:tcPr>
            <w:tcW w:w="2249"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一次性无菌腹腔引流导管及附件2</w:t>
            </w:r>
          </w:p>
        </w:tc>
        <w:tc>
          <w:tcPr>
            <w:tcW w:w="3407" w:type="pct"/>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★1、用途:供体表创伤或切口引流用；</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▲2、包装:1根/包；</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▲3、规格:多通道型，管径至少包含:10Fr、12Fr、15Fr、19Fr、24Fr、28Fr*45cm；10Fr、12Fr、15Fr、19Fr、24Fr、28Fr*55cm；10Fr、12Fr、15Fr、19Fr、24Fr、28Fr*75cm；</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4、组成：至少由引流段，内增强连接管和连接管组成；</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5、材质:管体为聚氨酯材质；</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6、灭菌产品、一次性使用；</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7、有效期≥2年；</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▲8、管体前端为十字螺旋多通道；</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▲9、防折段有内凸</w:t>
            </w:r>
            <w:r>
              <w:rPr>
                <w:rFonts w:hint="eastAsia" w:hAnsi="宋体" w:cs="宋体"/>
                <w:i w:val="0"/>
                <w:iCs w:val="0"/>
                <w:color w:val="auto"/>
                <w:kern w:val="0"/>
                <w:sz w:val="21"/>
                <w:szCs w:val="21"/>
                <w:highlight w:val="none"/>
                <w:u w:val="none"/>
                <w:lang w:val="en-US" w:eastAsia="zh-CN" w:bidi="ar"/>
              </w:rPr>
              <w:t>，有效防止导管折断，保证褶皱时仍能保持引流通畅；</w:t>
            </w:r>
          </w:p>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▲10、管体需透明，便于准确观察引流液体情况。</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462" w:type="pct"/>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02-01</w:t>
            </w:r>
          </w:p>
        </w:tc>
        <w:tc>
          <w:tcPr>
            <w:tcW w:w="2249"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血管内异物取出装置</w:t>
            </w:r>
          </w:p>
        </w:tc>
        <w:tc>
          <w:tcPr>
            <w:tcW w:w="3407" w:type="pct"/>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★1、用途：适用于经导管捕捉和取出血管内介入器械失效后脱落的异物；</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▲2、包装：1个/盒；</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▲3、规格：</w:t>
            </w:r>
            <w:r>
              <w:rPr>
                <w:rFonts w:hint="eastAsia" w:hAnsi="宋体" w:cs="宋体"/>
                <w:i w:val="0"/>
                <w:iCs w:val="0"/>
                <w:color w:val="auto"/>
                <w:kern w:val="0"/>
                <w:sz w:val="21"/>
                <w:szCs w:val="21"/>
                <w:highlight w:val="none"/>
                <w:u w:val="none"/>
                <w:lang w:val="en-US" w:eastAsia="zh-CN" w:bidi="ar"/>
              </w:rPr>
              <w:t>至少</w:t>
            </w:r>
            <w:r>
              <w:rPr>
                <w:rFonts w:hint="eastAsia" w:ascii="宋体" w:hAnsi="宋体" w:eastAsia="宋体" w:cs="宋体"/>
                <w:i w:val="0"/>
                <w:iCs w:val="0"/>
                <w:color w:val="auto"/>
                <w:kern w:val="0"/>
                <w:sz w:val="21"/>
                <w:szCs w:val="21"/>
                <w:highlight w:val="none"/>
                <w:u w:val="none"/>
                <w:lang w:val="en-US" w:eastAsia="zh-CN" w:bidi="ar"/>
              </w:rPr>
              <w:t>包含直径15mm-35mm；</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4、材质：镍钛合金；</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5、组成：由抓捕器和导管组成；</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6、灭菌产品、一次性使用；</w:t>
            </w:r>
          </w:p>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7、有效期≥2年。</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62" w:type="pct"/>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03-01</w:t>
            </w:r>
          </w:p>
        </w:tc>
        <w:tc>
          <w:tcPr>
            <w:tcW w:w="2249"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脊髓神经刺激测试电极</w:t>
            </w:r>
          </w:p>
        </w:tc>
        <w:tc>
          <w:tcPr>
            <w:tcW w:w="3407" w:type="pct"/>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★1、用途：脊髓电刺激技术治疗神经病理性疼痛；</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▲2、包装：1套/盒 ；</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▲3、规格：电极长度至少包含45cm、60cm、90cm。</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 组成：由电极、导丝、穿刺针和钢丝组成，用于脊髓刺激术中对靶点的刺激；</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5、材质：测试电极刺激触点使用材料：铂铱合金；外绝缘层为聚氨酯；堵头材料为聚氨酯；</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6、灭菌产品、一次性使用；</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7、有效期≥2年；</w:t>
            </w:r>
          </w:p>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▲8、刺激触点长度≥3.0mm，刺激触点直径≥1.3mm，刺激触点间距≥4.0mm</w:t>
            </w:r>
            <w:r>
              <w:rPr>
                <w:rFonts w:hint="eastAsia" w:hAnsi="宋体" w:cs="宋体"/>
                <w:i w:val="0"/>
                <w:iCs w:val="0"/>
                <w:color w:val="auto"/>
                <w:kern w:val="0"/>
                <w:sz w:val="21"/>
                <w:szCs w:val="21"/>
                <w:highlight w:val="none"/>
                <w:u w:val="none"/>
                <w:lang w:val="en-US" w:eastAsia="zh-CN" w:bidi="ar"/>
              </w:rPr>
              <w:t>。</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462" w:type="pct"/>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04-01</w:t>
            </w:r>
          </w:p>
        </w:tc>
        <w:tc>
          <w:tcPr>
            <w:tcW w:w="2249"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一次性无菌经外周中心静脉导管套装</w:t>
            </w:r>
          </w:p>
        </w:tc>
        <w:tc>
          <w:tcPr>
            <w:tcW w:w="3407" w:type="pct"/>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★1、用途：用于临床静脉输液；</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▲2、包装：1套/包；</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▲3、规格：单腔，至少包含3Fr*10cm；</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4、组成：由导管、穿刺组件及穿刺敷料包组成；</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5、材质：聚氨酯；</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6、灭菌产品，一次性使用；</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7、有效期≥2年；</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▲8、具备后端瓣膜；</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▲9、需配备至少注射器*1支、棉球*1个、垫巾*1张、洞巾*1张、手套*1双；</w:t>
            </w:r>
          </w:p>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▲10、管体压可耐高压≥300PSI。</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462" w:type="pct"/>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04-02</w:t>
            </w:r>
          </w:p>
        </w:tc>
        <w:tc>
          <w:tcPr>
            <w:tcW w:w="2249"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一次性使用无菌溶药器</w:t>
            </w:r>
          </w:p>
        </w:tc>
        <w:tc>
          <w:tcPr>
            <w:tcW w:w="3407" w:type="pct"/>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★1、用途：供临床抽取、溶解、配制药液使用；</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▲2、包装：1支/包；</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▲3、规格：至少包含10mL、M（帽/堵头）、1.2mm*30mm 薄壁、斜面针管；</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4、组成：至少包含一次性使用无菌溶药针、外套、芯杆、橡胶活塞组成；</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5、材质：聚丙烯；</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6、灭菌产品，一次性使用；</w:t>
            </w:r>
          </w:p>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7、有效期≥2年</w:t>
            </w:r>
            <w:r>
              <w:rPr>
                <w:rFonts w:hint="eastAsia" w:hAnsi="宋体" w:cs="宋体"/>
                <w:i w:val="0"/>
                <w:iCs w:val="0"/>
                <w:color w:val="auto"/>
                <w:kern w:val="0"/>
                <w:sz w:val="21"/>
                <w:szCs w:val="21"/>
                <w:highlight w:val="none"/>
                <w:u w:val="none"/>
                <w:lang w:val="en-US" w:eastAsia="zh-CN" w:bidi="ar"/>
              </w:rPr>
              <w:t>。</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462" w:type="pct"/>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04-03</w:t>
            </w:r>
          </w:p>
        </w:tc>
        <w:tc>
          <w:tcPr>
            <w:tcW w:w="2249"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一次性使用口腔吸痰管</w:t>
            </w:r>
          </w:p>
        </w:tc>
        <w:tc>
          <w:tcPr>
            <w:tcW w:w="3407" w:type="pct"/>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★1、用途：患者口腔内痰液、血液等分泌物清理；</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▲2、包装：1支/袋；</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▲3、规格：至少包含5.67Fr*200mm；</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4、组成：吸引导管接头、导管、护理头、冲洗接口、冲洗管组成；</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5、材质：聚氨酯、聚氯乙烯；</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6、灭菌产品、一次性使用；</w:t>
            </w:r>
          </w:p>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7、有效期≥2年</w:t>
            </w:r>
            <w:r>
              <w:rPr>
                <w:rFonts w:hint="eastAsia" w:hAnsi="宋体" w:cs="宋体"/>
                <w:i w:val="0"/>
                <w:iCs w:val="0"/>
                <w:color w:val="auto"/>
                <w:kern w:val="0"/>
                <w:sz w:val="21"/>
                <w:szCs w:val="21"/>
                <w:highlight w:val="none"/>
                <w:u w:val="none"/>
                <w:lang w:val="en-US" w:eastAsia="zh-CN" w:bidi="ar"/>
              </w:rPr>
              <w:t>。</w:t>
            </w:r>
          </w:p>
        </w:tc>
      </w:tr>
    </w:tbl>
    <w:p>
      <w:pPr>
        <w:pStyle w:val="152"/>
        <w:adjustRightInd w:val="0"/>
        <w:snapToGrid w:val="0"/>
        <w:spacing w:before="0" w:after="0" w:line="360" w:lineRule="auto"/>
        <w:ind w:left="0" w:right="0"/>
        <w:jc w:val="left"/>
        <w:rPr>
          <w:rFonts w:hint="eastAsia" w:ascii="宋体" w:hAnsi="宋体" w:eastAsia="宋体" w:cs="宋体"/>
          <w:b/>
          <w:bCs/>
          <w:i w:val="0"/>
          <w:iCs/>
          <w:sz w:val="24"/>
          <w:szCs w:val="24"/>
        </w:rPr>
      </w:pPr>
    </w:p>
    <w:p>
      <w:pPr>
        <w:pStyle w:val="152"/>
        <w:shd w:val="clear"/>
        <w:adjustRightInd w:val="0"/>
        <w:snapToGrid w:val="0"/>
        <w:spacing w:before="0" w:after="0" w:line="360" w:lineRule="auto"/>
        <w:ind w:left="0" w:right="0"/>
        <w:jc w:val="left"/>
        <w:rPr>
          <w:rFonts w:hint="eastAsia" w:ascii="宋体" w:hAnsi="宋体" w:eastAsia="宋体" w:cs="宋体"/>
          <w:b/>
          <w:bCs/>
          <w:i w:val="0"/>
          <w:iCs/>
          <w:color w:val="auto"/>
          <w:sz w:val="24"/>
          <w:szCs w:val="24"/>
          <w:highlight w:val="none"/>
          <w:lang w:val="en-US" w:eastAsia="zh-CN"/>
        </w:rPr>
      </w:pPr>
    </w:p>
    <w:p>
      <w:pPr>
        <w:pStyle w:val="152"/>
        <w:shd w:val="clear"/>
        <w:adjustRightInd w:val="0"/>
        <w:snapToGrid w:val="0"/>
        <w:spacing w:before="0" w:after="0" w:line="360" w:lineRule="auto"/>
        <w:ind w:left="0" w:right="0"/>
        <w:jc w:val="left"/>
        <w:rPr>
          <w:rFonts w:hint="default" w:ascii="宋体" w:hAnsi="宋体" w:eastAsia="宋体" w:cs="宋体"/>
          <w:b/>
          <w:bCs/>
          <w:i w:val="0"/>
          <w:iCs/>
          <w:color w:val="auto"/>
          <w:sz w:val="24"/>
          <w:szCs w:val="24"/>
          <w:highlight w:val="none"/>
          <w:lang w:val="en-US" w:eastAsia="zh-CN"/>
        </w:rPr>
      </w:pPr>
      <w:bookmarkStart w:id="0" w:name="_GoBack"/>
      <w:bookmarkEnd w:id="0"/>
      <w:r>
        <w:rPr>
          <w:rFonts w:hint="eastAsia" w:ascii="宋体" w:hAnsi="宋体" w:eastAsia="宋体" w:cs="宋体"/>
          <w:b/>
          <w:bCs/>
          <w:i w:val="0"/>
          <w:iCs/>
          <w:color w:val="auto"/>
          <w:sz w:val="24"/>
          <w:szCs w:val="24"/>
          <w:highlight w:val="none"/>
          <w:lang w:val="en-US" w:eastAsia="zh-CN"/>
        </w:rPr>
        <w:t>注：1.★条款为实质性要求，须在“产品技术响应表”中响应。</w:t>
      </w:r>
    </w:p>
    <w:p>
      <w:pPr>
        <w:pStyle w:val="152"/>
        <w:shd w:val="clear"/>
        <w:adjustRightInd w:val="0"/>
        <w:snapToGrid w:val="0"/>
        <w:spacing w:before="0" w:after="0" w:line="360" w:lineRule="auto"/>
        <w:ind w:left="0" w:right="0"/>
        <w:jc w:val="left"/>
        <w:rPr>
          <w:rFonts w:hint="eastAsia" w:ascii="宋体" w:hAnsi="宋体" w:eastAsia="宋体" w:cs="宋体"/>
          <w:b/>
          <w:bCs/>
          <w:i w:val="0"/>
          <w:iCs/>
          <w:color w:val="auto"/>
          <w:sz w:val="24"/>
          <w:szCs w:val="24"/>
          <w:highlight w:val="none"/>
          <w:lang w:val="en-US" w:eastAsia="zh-CN"/>
        </w:rPr>
      </w:pPr>
      <w:r>
        <w:rPr>
          <w:rFonts w:hint="eastAsia" w:ascii="宋体" w:hAnsi="宋体" w:eastAsia="宋体" w:cs="宋体"/>
          <w:b/>
          <w:bCs/>
          <w:i w:val="0"/>
          <w:iCs/>
          <w:color w:val="auto"/>
          <w:sz w:val="24"/>
          <w:szCs w:val="24"/>
          <w:highlight w:val="none"/>
          <w:lang w:val="en-US" w:eastAsia="zh-CN"/>
        </w:rPr>
        <w:t>2.▲条款除在“产品技术响应表”中响应以外，还须提供投标产品制造厂家公开发布的产品图册或产品说明书或产品技术白皮书或第三方检验（测）报告予以佐证。针对投标产品的佐证材料须证明为投标产品制造厂家公开发布的(如：加盖产品制造厂家公章是被认为产品制造厂家公开发布的方式之一）。</w:t>
      </w:r>
    </w:p>
    <w:p>
      <w:pPr>
        <w:pStyle w:val="152"/>
        <w:shd w:val="clear"/>
        <w:adjustRightInd w:val="0"/>
        <w:snapToGrid w:val="0"/>
        <w:spacing w:before="0" w:after="0" w:line="360" w:lineRule="auto"/>
        <w:ind w:left="0" w:right="0"/>
        <w:jc w:val="left"/>
        <w:rPr>
          <w:rFonts w:hint="eastAsia" w:ascii="宋体" w:hAnsi="宋体" w:eastAsia="宋体" w:cs="宋体"/>
          <w:b/>
          <w:bCs/>
          <w:i w:val="0"/>
          <w:iCs/>
          <w:color w:val="auto"/>
          <w:sz w:val="24"/>
          <w:szCs w:val="24"/>
          <w:highlight w:val="none"/>
          <w:lang w:val="en-US" w:eastAsia="zh-CN"/>
        </w:rPr>
      </w:pPr>
      <w:r>
        <w:rPr>
          <w:rFonts w:hint="eastAsia" w:ascii="宋体" w:hAnsi="宋体" w:eastAsia="宋体" w:cs="宋体"/>
          <w:b/>
          <w:bCs/>
          <w:i w:val="0"/>
          <w:iCs/>
          <w:color w:val="auto"/>
          <w:sz w:val="24"/>
          <w:szCs w:val="24"/>
          <w:highlight w:val="none"/>
          <w:lang w:val="en-US" w:eastAsia="zh-CN"/>
        </w:rPr>
        <w:t>3.未提供相关证明材料或者虽提供但无法佐证者，均自行承担被评审委员会视为技术参数负偏离的风险。</w:t>
      </w:r>
    </w:p>
    <w:p>
      <w:pPr>
        <w:pStyle w:val="11"/>
        <w:rPr>
          <w:rFonts w:hint="eastAsia" w:ascii="宋体" w:hAnsi="宋体" w:eastAsia="宋体" w:cs="宋体"/>
          <w:b/>
          <w:bCs/>
          <w:sz w:val="24"/>
          <w:szCs w:val="24"/>
          <w:lang w:val="en-US" w:eastAsia="zh-CN"/>
        </w:rPr>
      </w:pPr>
      <w:r>
        <w:rPr>
          <w:rFonts w:hint="eastAsia" w:ascii="宋体" w:hAnsi="宋体" w:eastAsia="宋体" w:cs="宋体"/>
          <w:b/>
          <w:bCs/>
          <w:i w:val="0"/>
          <w:iCs/>
          <w:color w:val="auto"/>
          <w:sz w:val="24"/>
          <w:szCs w:val="24"/>
          <w:highlight w:val="none"/>
          <w:lang w:val="en-US" w:eastAsia="zh-CN"/>
        </w:rPr>
        <w:t>4.供应商须严格按照采购文件产品参数描述进行响应，不得曲解采购文件产品参数描述意思或以其他参数描述来响应采购文件参数，不得以“正偏离”为由偷换技术参数描述方式进行响应，否则自行承担被评审委员会视为技术参数负偏离的风险。</w:t>
      </w:r>
    </w:p>
    <w:p>
      <w:pPr>
        <w:pStyle w:val="11"/>
        <w:rPr>
          <w:rFonts w:hint="eastAsia" w:ascii="宋体" w:hAnsi="宋体" w:eastAsia="宋体" w:cs="宋体"/>
          <w:b/>
          <w:bCs/>
          <w:sz w:val="24"/>
          <w:szCs w:val="24"/>
          <w:lang w:val="en-US" w:eastAsia="zh-CN"/>
        </w:rPr>
      </w:pPr>
    </w:p>
    <w:p>
      <w:pPr>
        <w:pStyle w:val="11"/>
        <w:rPr>
          <w:rFonts w:hint="eastAsia" w:ascii="宋体" w:hAnsi="宋体" w:eastAsia="宋体" w:cs="宋体"/>
          <w:b/>
          <w:bCs/>
          <w:sz w:val="24"/>
          <w:szCs w:val="24"/>
          <w:lang w:val="en-US" w:eastAsia="zh-CN"/>
        </w:rPr>
      </w:pPr>
    </w:p>
    <w:p>
      <w:pPr>
        <w:pStyle w:val="1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五、评分办法</w:t>
      </w:r>
    </w:p>
    <w:tbl>
      <w:tblPr>
        <w:tblStyle w:val="26"/>
        <w:tblW w:w="4842" w:type="pct"/>
        <w:tblInd w:w="2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964"/>
        <w:gridCol w:w="962"/>
        <w:gridCol w:w="5911"/>
        <w:gridCol w:w="10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73" w:type="pct"/>
            <w:noWrap/>
            <w:vAlign w:val="center"/>
          </w:tcPr>
          <w:p>
            <w:pPr>
              <w:widowControl/>
              <w:shd w:val="clear"/>
              <w:spacing w:line="360" w:lineRule="auto"/>
              <w:jc w:val="center"/>
              <w:rPr>
                <w:rFonts w:hAnsi="宋体" w:cs="宋体"/>
                <w:b/>
                <w:bCs/>
                <w:sz w:val="21"/>
                <w:szCs w:val="21"/>
                <w:highlight w:val="none"/>
              </w:rPr>
            </w:pPr>
            <w:r>
              <w:rPr>
                <w:rFonts w:hint="eastAsia" w:hAnsi="宋体" w:cs="宋体"/>
                <w:b/>
                <w:bCs/>
                <w:sz w:val="21"/>
                <w:szCs w:val="21"/>
                <w:highlight w:val="none"/>
              </w:rPr>
              <w:t>序号</w:t>
            </w:r>
          </w:p>
        </w:tc>
        <w:tc>
          <w:tcPr>
            <w:tcW w:w="499" w:type="pct"/>
            <w:noWrap/>
            <w:vAlign w:val="center"/>
          </w:tcPr>
          <w:p>
            <w:pPr>
              <w:widowControl/>
              <w:shd w:val="clear"/>
              <w:spacing w:line="360" w:lineRule="auto"/>
              <w:jc w:val="center"/>
              <w:rPr>
                <w:rFonts w:hAnsi="宋体" w:cs="宋体"/>
                <w:b/>
                <w:bCs/>
                <w:sz w:val="21"/>
                <w:szCs w:val="21"/>
                <w:highlight w:val="none"/>
              </w:rPr>
            </w:pPr>
            <w:r>
              <w:rPr>
                <w:rFonts w:hint="eastAsia" w:hAnsi="宋体" w:cs="宋体"/>
                <w:b/>
                <w:bCs/>
                <w:sz w:val="21"/>
                <w:szCs w:val="21"/>
                <w:highlight w:val="none"/>
              </w:rPr>
              <w:t>评审项目</w:t>
            </w:r>
          </w:p>
        </w:tc>
        <w:tc>
          <w:tcPr>
            <w:tcW w:w="498" w:type="pct"/>
            <w:noWrap/>
            <w:vAlign w:val="center"/>
          </w:tcPr>
          <w:p>
            <w:pPr>
              <w:widowControl/>
              <w:shd w:val="clear"/>
              <w:spacing w:line="360" w:lineRule="auto"/>
              <w:jc w:val="center"/>
              <w:rPr>
                <w:rFonts w:hAnsi="宋体" w:cs="宋体"/>
                <w:b/>
                <w:bCs/>
                <w:sz w:val="21"/>
                <w:szCs w:val="21"/>
                <w:highlight w:val="none"/>
              </w:rPr>
            </w:pPr>
            <w:r>
              <w:rPr>
                <w:rFonts w:hint="eastAsia" w:hAnsi="宋体" w:cs="宋体"/>
                <w:b/>
                <w:bCs/>
                <w:sz w:val="21"/>
                <w:szCs w:val="21"/>
                <w:highlight w:val="none"/>
              </w:rPr>
              <w:t>分值</w:t>
            </w:r>
          </w:p>
        </w:tc>
        <w:tc>
          <w:tcPr>
            <w:tcW w:w="3063" w:type="pct"/>
            <w:noWrap/>
            <w:vAlign w:val="center"/>
          </w:tcPr>
          <w:p>
            <w:pPr>
              <w:widowControl/>
              <w:shd w:val="clear"/>
              <w:spacing w:line="360" w:lineRule="auto"/>
              <w:ind w:firstLine="843" w:firstLineChars="400"/>
              <w:jc w:val="center"/>
              <w:rPr>
                <w:rFonts w:hAnsi="宋体" w:cs="宋体"/>
                <w:b/>
                <w:bCs/>
                <w:sz w:val="21"/>
                <w:szCs w:val="21"/>
                <w:highlight w:val="none"/>
              </w:rPr>
            </w:pPr>
            <w:r>
              <w:rPr>
                <w:rFonts w:hint="eastAsia" w:hAnsi="宋体" w:cs="宋体"/>
                <w:b/>
                <w:bCs/>
                <w:sz w:val="21"/>
                <w:szCs w:val="21"/>
                <w:highlight w:val="none"/>
              </w:rPr>
              <w:t>评分范围</w:t>
            </w:r>
          </w:p>
        </w:tc>
        <w:tc>
          <w:tcPr>
            <w:tcW w:w="565" w:type="pct"/>
            <w:noWrap/>
            <w:vAlign w:val="center"/>
          </w:tcPr>
          <w:p>
            <w:pPr>
              <w:widowControl/>
              <w:shd w:val="clear"/>
              <w:spacing w:line="360" w:lineRule="auto"/>
              <w:jc w:val="center"/>
              <w:rPr>
                <w:rFonts w:hAnsi="宋体" w:cs="宋体"/>
                <w:b/>
                <w:bCs/>
                <w:sz w:val="21"/>
                <w:szCs w:val="21"/>
                <w:highlight w:val="none"/>
              </w:rPr>
            </w:pPr>
            <w:r>
              <w:rPr>
                <w:rFonts w:hint="eastAsia" w:hAnsi="宋体" w:cs="宋体"/>
                <w:b/>
                <w:bCs/>
                <w:sz w:val="21"/>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73" w:type="pct"/>
            <w:noWrap/>
            <w:vAlign w:val="center"/>
          </w:tcPr>
          <w:p>
            <w:pPr>
              <w:widowControl/>
              <w:shd w:val="clear"/>
              <w:spacing w:line="360" w:lineRule="auto"/>
              <w:jc w:val="center"/>
              <w:rPr>
                <w:rFonts w:hAnsi="宋体" w:cs="宋体"/>
                <w:sz w:val="21"/>
                <w:szCs w:val="21"/>
                <w:highlight w:val="none"/>
              </w:rPr>
            </w:pPr>
            <w:r>
              <w:rPr>
                <w:rFonts w:hint="eastAsia" w:hAnsi="宋体" w:cs="宋体"/>
                <w:sz w:val="21"/>
                <w:szCs w:val="21"/>
                <w:highlight w:val="none"/>
              </w:rPr>
              <w:t>1</w:t>
            </w:r>
          </w:p>
        </w:tc>
        <w:tc>
          <w:tcPr>
            <w:tcW w:w="499" w:type="pct"/>
            <w:noWrap/>
            <w:vAlign w:val="center"/>
          </w:tcPr>
          <w:p>
            <w:pPr>
              <w:widowControl/>
              <w:shd w:val="clear"/>
              <w:spacing w:line="360" w:lineRule="auto"/>
              <w:jc w:val="center"/>
              <w:rPr>
                <w:rFonts w:hAnsi="宋体" w:cs="宋体"/>
                <w:sz w:val="21"/>
                <w:szCs w:val="21"/>
                <w:highlight w:val="none"/>
              </w:rPr>
            </w:pPr>
            <w:r>
              <w:rPr>
                <w:rFonts w:hint="eastAsia" w:hAnsi="宋体" w:cs="宋体"/>
                <w:sz w:val="21"/>
                <w:szCs w:val="21"/>
                <w:highlight w:val="none"/>
              </w:rPr>
              <w:t>报价35%</w:t>
            </w:r>
          </w:p>
        </w:tc>
        <w:tc>
          <w:tcPr>
            <w:tcW w:w="498" w:type="pct"/>
            <w:noWrap/>
            <w:vAlign w:val="center"/>
          </w:tcPr>
          <w:p>
            <w:pPr>
              <w:widowControl/>
              <w:shd w:val="clear"/>
              <w:spacing w:line="360" w:lineRule="auto"/>
              <w:jc w:val="center"/>
              <w:rPr>
                <w:rFonts w:hAnsi="宋体" w:cs="宋体"/>
                <w:sz w:val="21"/>
                <w:szCs w:val="21"/>
                <w:highlight w:val="none"/>
              </w:rPr>
            </w:pPr>
            <w:r>
              <w:rPr>
                <w:rFonts w:hint="eastAsia" w:hAnsi="宋体" w:cs="宋体"/>
                <w:sz w:val="21"/>
                <w:szCs w:val="21"/>
                <w:highlight w:val="none"/>
              </w:rPr>
              <w:t>35分</w:t>
            </w:r>
          </w:p>
        </w:tc>
        <w:tc>
          <w:tcPr>
            <w:tcW w:w="3063" w:type="pct"/>
            <w:noWrap/>
            <w:vAlign w:val="center"/>
          </w:tcPr>
          <w:p>
            <w:pPr>
              <w:shd w:val="clear"/>
              <w:adjustRightInd w:val="0"/>
              <w:spacing w:line="360" w:lineRule="auto"/>
              <w:ind w:firstLine="420" w:firstLineChars="200"/>
              <w:rPr>
                <w:rFonts w:hAnsi="宋体" w:cs="宋体"/>
                <w:sz w:val="21"/>
                <w:szCs w:val="21"/>
                <w:highlight w:val="none"/>
              </w:rPr>
            </w:pPr>
            <w:r>
              <w:rPr>
                <w:rFonts w:hAnsi="宋体" w:cs="宋体"/>
                <w:sz w:val="21"/>
                <w:szCs w:val="21"/>
                <w:highlight w:val="none"/>
                <w:lang w:val="zh-TW" w:eastAsia="zh-TW"/>
              </w:rPr>
              <w:t>满足</w:t>
            </w:r>
            <w:r>
              <w:rPr>
                <w:rFonts w:hAnsi="宋体" w:cs="宋体"/>
                <w:sz w:val="21"/>
                <w:szCs w:val="21"/>
                <w:highlight w:val="none"/>
                <w:lang w:val="zh-TW"/>
              </w:rPr>
              <w:t>比选</w:t>
            </w:r>
            <w:r>
              <w:rPr>
                <w:rFonts w:hAnsi="宋体" w:cs="宋体"/>
                <w:sz w:val="21"/>
                <w:szCs w:val="21"/>
                <w:highlight w:val="none"/>
                <w:lang w:val="zh-TW" w:eastAsia="zh-TW"/>
              </w:rPr>
              <w:t>文件要求且</w:t>
            </w:r>
            <w:r>
              <w:rPr>
                <w:rFonts w:hAnsi="宋体" w:cs="宋体"/>
                <w:sz w:val="21"/>
                <w:szCs w:val="21"/>
                <w:highlight w:val="none"/>
                <w:lang w:val="zh-TW"/>
              </w:rPr>
              <w:t>报价</w:t>
            </w:r>
            <w:r>
              <w:rPr>
                <w:rFonts w:hAnsi="宋体" w:cs="宋体"/>
                <w:sz w:val="21"/>
                <w:szCs w:val="21"/>
                <w:highlight w:val="none"/>
                <w:lang w:val="zh-TW" w:eastAsia="zh-TW"/>
              </w:rPr>
              <w:t>最低的为评</w:t>
            </w:r>
            <w:r>
              <w:rPr>
                <w:rFonts w:hAnsi="宋体" w:cs="宋体"/>
                <w:sz w:val="21"/>
                <w:szCs w:val="21"/>
                <w:highlight w:val="none"/>
                <w:lang w:val="zh-TW"/>
              </w:rPr>
              <w:t>审</w:t>
            </w:r>
            <w:r>
              <w:rPr>
                <w:rFonts w:hAnsi="宋体" w:cs="宋体"/>
                <w:sz w:val="21"/>
                <w:szCs w:val="21"/>
                <w:highlight w:val="none"/>
                <w:lang w:val="zh-TW" w:eastAsia="zh-TW"/>
              </w:rPr>
              <w:t>基准价，其价格为满分。其他</w:t>
            </w:r>
            <w:r>
              <w:rPr>
                <w:rFonts w:hAnsi="宋体" w:cs="宋体"/>
                <w:sz w:val="21"/>
                <w:szCs w:val="21"/>
                <w:highlight w:val="none"/>
                <w:lang w:val="zh-TW"/>
              </w:rPr>
              <w:t>比选</w:t>
            </w:r>
            <w:r>
              <w:rPr>
                <w:rFonts w:hAnsi="宋体" w:cs="宋体"/>
                <w:sz w:val="21"/>
                <w:szCs w:val="21"/>
                <w:highlight w:val="none"/>
                <w:lang w:val="zh-TW" w:eastAsia="zh-TW"/>
              </w:rPr>
              <w:t>人的价格分统一按照下列公式计算：报价得分=(评</w:t>
            </w:r>
            <w:r>
              <w:rPr>
                <w:rFonts w:hAnsi="宋体" w:cs="宋体"/>
                <w:sz w:val="21"/>
                <w:szCs w:val="21"/>
                <w:highlight w:val="none"/>
                <w:lang w:val="zh-TW"/>
              </w:rPr>
              <w:t>审</w:t>
            </w:r>
            <w:r>
              <w:rPr>
                <w:rFonts w:hAnsi="宋体" w:cs="宋体"/>
                <w:sz w:val="21"/>
                <w:szCs w:val="21"/>
                <w:highlight w:val="none"/>
                <w:lang w:val="zh-TW" w:eastAsia="zh-TW"/>
              </w:rPr>
              <w:t>基准价÷</w:t>
            </w:r>
            <w:r>
              <w:rPr>
                <w:rFonts w:hAnsi="宋体" w:cs="宋体"/>
                <w:sz w:val="21"/>
                <w:szCs w:val="21"/>
                <w:highlight w:val="none"/>
                <w:lang w:val="zh-TW"/>
              </w:rPr>
              <w:t>比选人</w:t>
            </w:r>
            <w:r>
              <w:rPr>
                <w:rFonts w:hAnsi="宋体" w:cs="宋体"/>
                <w:sz w:val="21"/>
                <w:szCs w:val="21"/>
                <w:highlight w:val="none"/>
                <w:lang w:val="zh-TW" w:eastAsia="zh-TW"/>
              </w:rPr>
              <w:t>报价)×</w:t>
            </w:r>
            <w:r>
              <w:rPr>
                <w:rFonts w:hAnsi="宋体" w:cs="宋体"/>
                <w:sz w:val="21"/>
                <w:szCs w:val="21"/>
                <w:highlight w:val="none"/>
                <w:lang w:val="zh-CN"/>
              </w:rPr>
              <w:t>3</w:t>
            </w:r>
            <w:r>
              <w:rPr>
                <w:rFonts w:hAnsi="宋体" w:cs="宋体"/>
                <w:sz w:val="21"/>
                <w:szCs w:val="21"/>
                <w:highlight w:val="none"/>
              </w:rPr>
              <w:t>5</w:t>
            </w:r>
            <w:r>
              <w:rPr>
                <w:rFonts w:hAnsi="宋体" w:cs="宋体"/>
                <w:sz w:val="21"/>
                <w:szCs w:val="21"/>
                <w:highlight w:val="none"/>
                <w:lang w:val="zh-TW" w:eastAsia="zh-TW"/>
              </w:rPr>
              <w:t>×100%。</w:t>
            </w:r>
          </w:p>
        </w:tc>
        <w:tc>
          <w:tcPr>
            <w:tcW w:w="565" w:type="pct"/>
            <w:noWrap/>
            <w:vAlign w:val="center"/>
          </w:tcPr>
          <w:p>
            <w:pPr>
              <w:pStyle w:val="11"/>
              <w:shd w:val="clear"/>
              <w:spacing w:line="360" w:lineRule="auto"/>
              <w:rPr>
                <w:rFonts w:hAnsi="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73" w:type="pct"/>
            <w:noWrap/>
            <w:vAlign w:val="center"/>
          </w:tcPr>
          <w:p>
            <w:pPr>
              <w:widowControl/>
              <w:shd w:val="clear"/>
              <w:spacing w:line="360" w:lineRule="auto"/>
              <w:jc w:val="center"/>
              <w:rPr>
                <w:rFonts w:hAnsi="宋体" w:cs="宋体"/>
                <w:sz w:val="21"/>
                <w:szCs w:val="21"/>
                <w:highlight w:val="none"/>
              </w:rPr>
            </w:pPr>
            <w:r>
              <w:rPr>
                <w:rFonts w:hint="eastAsia" w:hAnsi="宋体" w:cs="宋体"/>
                <w:sz w:val="21"/>
                <w:szCs w:val="21"/>
                <w:highlight w:val="none"/>
              </w:rPr>
              <w:t>2</w:t>
            </w:r>
          </w:p>
        </w:tc>
        <w:tc>
          <w:tcPr>
            <w:tcW w:w="499" w:type="pct"/>
            <w:noWrap/>
            <w:vAlign w:val="center"/>
          </w:tcPr>
          <w:p>
            <w:pPr>
              <w:widowControl/>
              <w:shd w:val="clear"/>
              <w:spacing w:line="360" w:lineRule="auto"/>
              <w:jc w:val="center"/>
              <w:rPr>
                <w:rFonts w:hAnsi="宋体" w:cs="宋体"/>
                <w:sz w:val="21"/>
                <w:szCs w:val="21"/>
                <w:highlight w:val="none"/>
              </w:rPr>
            </w:pPr>
            <w:r>
              <w:rPr>
                <w:rFonts w:hint="eastAsia" w:hAnsi="宋体" w:cs="宋体"/>
                <w:sz w:val="21"/>
                <w:szCs w:val="21"/>
                <w:highlight w:val="none"/>
              </w:rPr>
              <w:t>技术指标50%</w:t>
            </w:r>
          </w:p>
        </w:tc>
        <w:tc>
          <w:tcPr>
            <w:tcW w:w="498" w:type="pct"/>
            <w:noWrap/>
            <w:vAlign w:val="center"/>
          </w:tcPr>
          <w:p>
            <w:pPr>
              <w:widowControl/>
              <w:shd w:val="clear"/>
              <w:spacing w:line="360" w:lineRule="auto"/>
              <w:jc w:val="center"/>
              <w:rPr>
                <w:rFonts w:hAnsi="宋体" w:cs="宋体"/>
                <w:sz w:val="21"/>
                <w:szCs w:val="21"/>
                <w:highlight w:val="none"/>
              </w:rPr>
            </w:pPr>
            <w:r>
              <w:rPr>
                <w:rFonts w:hint="eastAsia" w:hAnsi="宋体" w:cs="宋体"/>
                <w:sz w:val="21"/>
                <w:szCs w:val="21"/>
                <w:highlight w:val="none"/>
              </w:rPr>
              <w:t>50分</w:t>
            </w:r>
          </w:p>
        </w:tc>
        <w:tc>
          <w:tcPr>
            <w:tcW w:w="3063" w:type="pct"/>
            <w:noWrap/>
            <w:vAlign w:val="center"/>
          </w:tcPr>
          <w:p>
            <w:pPr>
              <w:shd w:val="clear"/>
              <w:adjustRightInd w:val="0"/>
              <w:spacing w:line="360" w:lineRule="auto"/>
              <w:ind w:firstLine="420" w:firstLineChars="200"/>
              <w:rPr>
                <w:rFonts w:hAnsi="宋体" w:cs="宋体"/>
                <w:sz w:val="21"/>
                <w:szCs w:val="21"/>
                <w:highlight w:val="none"/>
              </w:rPr>
            </w:pPr>
            <w:r>
              <w:rPr>
                <w:rFonts w:hint="eastAsia" w:hAnsi="宋体" w:cs="宋体"/>
                <w:sz w:val="21"/>
                <w:szCs w:val="21"/>
                <w:highlight w:val="none"/>
              </w:rPr>
              <w:t>投标产品完全符合比选文件技术要求没负偏离的得50分；每有1条</w:t>
            </w:r>
            <w:r>
              <w:rPr>
                <w:rFonts w:hint="eastAsia" w:ascii="宋体" w:hAnsi="宋体" w:eastAsia="宋体" w:cs="宋体"/>
                <w:i w:val="0"/>
                <w:iCs w:val="0"/>
                <w:color w:val="000000"/>
                <w:kern w:val="0"/>
                <w:sz w:val="21"/>
                <w:szCs w:val="21"/>
                <w:highlight w:val="none"/>
                <w:u w:val="none"/>
                <w:lang w:val="en-US" w:eastAsia="zh-CN" w:bidi="ar"/>
              </w:rPr>
              <w:t>▲</w:t>
            </w:r>
            <w:r>
              <w:rPr>
                <w:rFonts w:hint="eastAsia" w:hAnsi="宋体" w:cs="宋体"/>
                <w:sz w:val="21"/>
                <w:szCs w:val="21"/>
                <w:highlight w:val="none"/>
              </w:rPr>
              <w:t>条款负偏离扣</w:t>
            </w:r>
            <w:r>
              <w:rPr>
                <w:rFonts w:hint="eastAsia" w:hAnsi="宋体" w:cs="宋体"/>
                <w:sz w:val="21"/>
                <w:szCs w:val="21"/>
                <w:highlight w:val="none"/>
                <w:u w:val="single"/>
              </w:rPr>
              <w:t xml:space="preserve"> </w:t>
            </w:r>
            <w:r>
              <w:rPr>
                <w:rFonts w:hint="eastAsia" w:hAnsi="宋体" w:cs="宋体"/>
                <w:sz w:val="21"/>
                <w:szCs w:val="21"/>
                <w:highlight w:val="none"/>
                <w:u w:val="single"/>
                <w:lang w:val="en-US" w:eastAsia="zh-CN"/>
              </w:rPr>
              <w:t>2</w:t>
            </w:r>
            <w:r>
              <w:rPr>
                <w:rFonts w:hint="eastAsia" w:hAnsi="宋体" w:cs="宋体"/>
                <w:sz w:val="21"/>
                <w:szCs w:val="21"/>
                <w:highlight w:val="none"/>
              </w:rPr>
              <w:t>分，每有1条</w:t>
            </w:r>
            <w:r>
              <w:rPr>
                <w:rFonts w:hint="eastAsia" w:ascii="宋体" w:hAnsi="宋体" w:eastAsia="宋体" w:cs="宋体"/>
                <w:i w:val="0"/>
                <w:iCs w:val="0"/>
                <w:color w:val="000000"/>
                <w:kern w:val="0"/>
                <w:sz w:val="21"/>
                <w:szCs w:val="21"/>
                <w:highlight w:val="none"/>
                <w:u w:val="none"/>
                <w:lang w:val="en-US" w:eastAsia="zh-CN" w:bidi="ar"/>
              </w:rPr>
              <w:t>无标识</w:t>
            </w:r>
            <w:r>
              <w:rPr>
                <w:rFonts w:hint="eastAsia" w:hAnsi="宋体" w:cs="宋体"/>
                <w:sz w:val="21"/>
                <w:szCs w:val="21"/>
                <w:highlight w:val="none"/>
              </w:rPr>
              <w:t>条款负偏离扣</w:t>
            </w:r>
            <w:r>
              <w:rPr>
                <w:rFonts w:hint="eastAsia" w:hAnsi="宋体" w:cs="宋体"/>
                <w:sz w:val="21"/>
                <w:szCs w:val="21"/>
                <w:highlight w:val="none"/>
                <w:u w:val="single"/>
              </w:rPr>
              <w:t xml:space="preserve"> </w:t>
            </w:r>
            <w:r>
              <w:rPr>
                <w:rFonts w:hint="eastAsia" w:hAnsi="宋体" w:cs="宋体"/>
                <w:sz w:val="21"/>
                <w:szCs w:val="21"/>
                <w:highlight w:val="none"/>
                <w:u w:val="single"/>
                <w:lang w:val="en-US" w:eastAsia="zh-CN"/>
              </w:rPr>
              <w:t>1</w:t>
            </w:r>
            <w:r>
              <w:rPr>
                <w:rFonts w:hint="eastAsia" w:hAnsi="宋体" w:cs="宋体"/>
                <w:sz w:val="21"/>
                <w:szCs w:val="21"/>
                <w:highlight w:val="none"/>
              </w:rPr>
              <w:t>分，扣完为止。</w:t>
            </w:r>
          </w:p>
        </w:tc>
        <w:tc>
          <w:tcPr>
            <w:tcW w:w="565" w:type="pct"/>
            <w:noWrap/>
            <w:vAlign w:val="center"/>
          </w:tcPr>
          <w:p>
            <w:pPr>
              <w:pStyle w:val="11"/>
              <w:shd w:val="clear"/>
              <w:spacing w:line="360" w:lineRule="auto"/>
              <w:jc w:val="center"/>
              <w:rPr>
                <w:rFonts w:hAnsi="宋体" w:cs="宋体"/>
                <w:sz w:val="21"/>
                <w:szCs w:val="21"/>
                <w:highlight w:val="none"/>
              </w:rPr>
            </w:pPr>
            <w:r>
              <w:rPr>
                <w:rFonts w:hint="eastAsia" w:hAnsi="宋体" w:cs="宋体"/>
                <w:sz w:val="21"/>
                <w:szCs w:val="21"/>
                <w:highlight w:val="none"/>
              </w:rPr>
              <w:t>按比选文件要求提供证明材料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73" w:type="pct"/>
            <w:noWrap/>
            <w:vAlign w:val="center"/>
          </w:tcPr>
          <w:p>
            <w:pPr>
              <w:widowControl/>
              <w:shd w:val="clear"/>
              <w:spacing w:line="360" w:lineRule="auto"/>
              <w:jc w:val="center"/>
              <w:rPr>
                <w:rFonts w:hAnsi="宋体" w:cs="宋体"/>
                <w:sz w:val="21"/>
                <w:szCs w:val="21"/>
                <w:highlight w:val="none"/>
              </w:rPr>
            </w:pPr>
            <w:r>
              <w:rPr>
                <w:rFonts w:hint="eastAsia" w:hAnsi="宋体" w:cs="宋体"/>
                <w:sz w:val="21"/>
                <w:szCs w:val="21"/>
                <w:highlight w:val="none"/>
              </w:rPr>
              <w:t>3</w:t>
            </w:r>
          </w:p>
        </w:tc>
        <w:tc>
          <w:tcPr>
            <w:tcW w:w="499" w:type="pct"/>
            <w:noWrap/>
            <w:vAlign w:val="center"/>
          </w:tcPr>
          <w:p>
            <w:pPr>
              <w:widowControl/>
              <w:shd w:val="clear"/>
              <w:spacing w:line="360" w:lineRule="auto"/>
              <w:jc w:val="center"/>
              <w:rPr>
                <w:rFonts w:hAnsi="宋体" w:cs="宋体"/>
                <w:sz w:val="21"/>
                <w:szCs w:val="21"/>
                <w:highlight w:val="none"/>
              </w:rPr>
            </w:pPr>
            <w:r>
              <w:rPr>
                <w:rFonts w:hint="eastAsia" w:hAnsi="宋体" w:cs="宋体"/>
                <w:sz w:val="21"/>
                <w:szCs w:val="21"/>
                <w:highlight w:val="none"/>
              </w:rPr>
              <w:t>项目整体服务方案10</w:t>
            </w:r>
            <w:r>
              <w:rPr>
                <w:rFonts w:hint="eastAsia" w:hAnsi="宋体" w:cs="宋体"/>
                <w:sz w:val="21"/>
                <w:szCs w:val="21"/>
                <w:highlight w:val="none"/>
                <w:lang w:val="zh-CN"/>
              </w:rPr>
              <w:t>%</w:t>
            </w:r>
          </w:p>
        </w:tc>
        <w:tc>
          <w:tcPr>
            <w:tcW w:w="498" w:type="pct"/>
            <w:tcBorders>
              <w:bottom w:val="single" w:color="auto" w:sz="4" w:space="0"/>
            </w:tcBorders>
            <w:noWrap/>
            <w:vAlign w:val="center"/>
          </w:tcPr>
          <w:p>
            <w:pPr>
              <w:widowControl/>
              <w:shd w:val="clear"/>
              <w:spacing w:line="360" w:lineRule="auto"/>
              <w:jc w:val="center"/>
              <w:rPr>
                <w:rFonts w:hAnsi="宋体" w:cs="宋体"/>
                <w:sz w:val="21"/>
                <w:szCs w:val="21"/>
                <w:highlight w:val="none"/>
              </w:rPr>
            </w:pPr>
            <w:r>
              <w:rPr>
                <w:rFonts w:hAnsi="宋体" w:cs="宋体"/>
                <w:sz w:val="21"/>
                <w:szCs w:val="21"/>
                <w:highlight w:val="none"/>
              </w:rPr>
              <w:t>10</w:t>
            </w:r>
            <w:r>
              <w:rPr>
                <w:rFonts w:hint="eastAsia" w:hAnsi="宋体" w:cs="宋体"/>
                <w:sz w:val="21"/>
                <w:szCs w:val="21"/>
                <w:highlight w:val="none"/>
              </w:rPr>
              <w:t>分</w:t>
            </w:r>
          </w:p>
        </w:tc>
        <w:tc>
          <w:tcPr>
            <w:tcW w:w="3063" w:type="pct"/>
            <w:tcBorders>
              <w:bottom w:val="single" w:color="auto" w:sz="4" w:space="0"/>
            </w:tcBorders>
            <w:noWrap/>
            <w:vAlign w:val="center"/>
          </w:tcPr>
          <w:p>
            <w:pPr>
              <w:widowControl/>
              <w:shd w:val="clear"/>
              <w:spacing w:line="360" w:lineRule="auto"/>
              <w:ind w:firstLine="420" w:firstLineChars="200"/>
              <w:rPr>
                <w:rFonts w:ascii="Times New Roman"/>
                <w:sz w:val="21"/>
                <w:szCs w:val="21"/>
                <w:highlight w:val="none"/>
                <w:lang w:val="zh-CN"/>
              </w:rPr>
            </w:pPr>
            <w:r>
              <w:rPr>
                <w:rFonts w:hint="eastAsia" w:ascii="Times New Roman"/>
                <w:sz w:val="21"/>
                <w:szCs w:val="21"/>
                <w:highlight w:val="none"/>
                <w:lang w:val="zh-CN"/>
              </w:rPr>
              <w:t>根据供应商针对本项目所提供的服务方案包含：</w:t>
            </w:r>
            <w:r>
              <w:rPr>
                <w:rFonts w:hint="eastAsia" w:ascii="Times New Roman"/>
                <w:sz w:val="21"/>
                <w:szCs w:val="21"/>
                <w:highlight w:val="none"/>
                <w:lang w:val="zh-CN"/>
              </w:rPr>
              <w:sym w:font="Wingdings" w:char="F081"/>
            </w:r>
            <w:r>
              <w:rPr>
                <w:rFonts w:hint="eastAsia" w:ascii="Times New Roman"/>
                <w:sz w:val="21"/>
                <w:szCs w:val="21"/>
                <w:highlight w:val="none"/>
                <w:lang w:val="zh-CN"/>
              </w:rPr>
              <w:t>配送</w:t>
            </w:r>
            <w:r>
              <w:rPr>
                <w:rFonts w:hint="eastAsia" w:ascii="Times New Roman"/>
                <w:sz w:val="21"/>
                <w:szCs w:val="21"/>
                <w:highlight w:val="none"/>
              </w:rPr>
              <w:t>负责人和具体配送人员名单并提供在职证明和人员身份证明复印件</w:t>
            </w:r>
            <w:r>
              <w:rPr>
                <w:rFonts w:hint="eastAsia" w:ascii="Times New Roman"/>
                <w:sz w:val="21"/>
                <w:szCs w:val="21"/>
                <w:highlight w:val="none"/>
                <w:lang w:val="zh-CN"/>
              </w:rPr>
              <w:t>；</w:t>
            </w:r>
            <w:r>
              <w:rPr>
                <w:rFonts w:hint="eastAsia" w:ascii="Times New Roman"/>
                <w:sz w:val="21"/>
                <w:szCs w:val="21"/>
                <w:highlight w:val="none"/>
                <w:lang w:val="zh-CN"/>
              </w:rPr>
              <w:sym w:font="Wingdings" w:char="F082"/>
            </w:r>
            <w:r>
              <w:rPr>
                <w:rFonts w:hint="eastAsia" w:ascii="Times New Roman"/>
                <w:sz w:val="21"/>
                <w:szCs w:val="21"/>
                <w:highlight w:val="none"/>
                <w:lang w:val="zh-CN"/>
              </w:rPr>
              <w:t>车辆安排（</w:t>
            </w:r>
            <w:r>
              <w:rPr>
                <w:rFonts w:hint="eastAsia" w:ascii="Times New Roman"/>
                <w:sz w:val="21"/>
                <w:szCs w:val="21"/>
                <w:highlight w:val="none"/>
              </w:rPr>
              <w:t>两个院区运输路线</w:t>
            </w:r>
            <w:r>
              <w:rPr>
                <w:rFonts w:hint="eastAsia" w:ascii="Times New Roman"/>
                <w:sz w:val="21"/>
                <w:szCs w:val="21"/>
                <w:highlight w:val="none"/>
                <w:lang w:val="zh-CN"/>
              </w:rPr>
              <w:t>安排、车辆情况等）；</w:t>
            </w:r>
            <w:r>
              <w:rPr>
                <w:rFonts w:hint="eastAsia" w:ascii="Times New Roman"/>
                <w:sz w:val="21"/>
                <w:szCs w:val="21"/>
                <w:highlight w:val="none"/>
              </w:rPr>
              <w:t>③</w:t>
            </w:r>
            <w:r>
              <w:rPr>
                <w:rFonts w:hint="eastAsia" w:ascii="Times New Roman"/>
                <w:sz w:val="21"/>
                <w:szCs w:val="21"/>
                <w:highlight w:val="none"/>
                <w:lang w:val="zh-CN"/>
              </w:rPr>
              <w:t>产品的存储及质量管控制度；</w:t>
            </w:r>
            <w:r>
              <w:rPr>
                <w:rFonts w:hint="eastAsia" w:ascii="Times New Roman"/>
                <w:sz w:val="21"/>
                <w:szCs w:val="21"/>
                <w:highlight w:val="none"/>
                <w:lang w:val="zh-CN"/>
              </w:rPr>
              <w:sym w:font="Wingdings" w:char="F084"/>
            </w:r>
            <w:r>
              <w:rPr>
                <w:rFonts w:hint="eastAsia" w:ascii="Times New Roman"/>
                <w:sz w:val="21"/>
                <w:szCs w:val="21"/>
                <w:highlight w:val="none"/>
                <w:lang w:val="zh-CN"/>
              </w:rPr>
              <w:t>售后服务方案（</w:t>
            </w:r>
            <w:r>
              <w:rPr>
                <w:rFonts w:hint="eastAsia" w:ascii="Times New Roman"/>
                <w:sz w:val="21"/>
                <w:szCs w:val="21"/>
                <w:highlight w:val="none"/>
              </w:rPr>
              <w:t>售后响应时间、人员培训计划、备品备件情况、</w:t>
            </w:r>
            <w:r>
              <w:rPr>
                <w:rFonts w:hint="eastAsia" w:ascii="Times New Roman"/>
                <w:sz w:val="21"/>
                <w:szCs w:val="21"/>
                <w:highlight w:val="none"/>
                <w:lang w:val="zh-CN"/>
              </w:rPr>
              <w:t>应急预案）等。</w:t>
            </w:r>
          </w:p>
          <w:p>
            <w:pPr>
              <w:widowControl/>
              <w:shd w:val="clear"/>
              <w:spacing w:line="360" w:lineRule="auto"/>
              <w:ind w:firstLine="420" w:firstLineChars="200"/>
              <w:rPr>
                <w:rFonts w:hAnsi="宋体" w:cs="宋体"/>
                <w:sz w:val="21"/>
                <w:szCs w:val="21"/>
                <w:highlight w:val="none"/>
              </w:rPr>
            </w:pPr>
            <w:r>
              <w:rPr>
                <w:rFonts w:hint="eastAsia" w:ascii="Times New Roman"/>
                <w:sz w:val="21"/>
                <w:szCs w:val="21"/>
                <w:highlight w:val="none"/>
                <w:lang w:val="zh-CN"/>
              </w:rPr>
              <w:t>上述内容完整且切实可行的得</w:t>
            </w:r>
            <w:r>
              <w:rPr>
                <w:rFonts w:ascii="Times New Roman"/>
                <w:sz w:val="21"/>
                <w:szCs w:val="21"/>
                <w:highlight w:val="none"/>
              </w:rPr>
              <w:t>10</w:t>
            </w:r>
            <w:r>
              <w:rPr>
                <w:rFonts w:hint="eastAsia" w:ascii="Times New Roman"/>
                <w:sz w:val="21"/>
                <w:szCs w:val="21"/>
                <w:highlight w:val="none"/>
                <w:lang w:val="zh-CN"/>
              </w:rPr>
              <w:t>分，每有一项缺失扣</w:t>
            </w:r>
            <w:r>
              <w:rPr>
                <w:rFonts w:hint="eastAsia" w:ascii="Times New Roman"/>
                <w:sz w:val="21"/>
                <w:szCs w:val="21"/>
                <w:highlight w:val="none"/>
              </w:rPr>
              <w:t>2</w:t>
            </w:r>
            <w:r>
              <w:rPr>
                <w:rFonts w:ascii="Times New Roman"/>
                <w:sz w:val="21"/>
                <w:szCs w:val="21"/>
                <w:highlight w:val="none"/>
              </w:rPr>
              <w:t>.5</w:t>
            </w:r>
            <w:r>
              <w:rPr>
                <w:rFonts w:hint="eastAsia" w:ascii="Times New Roman"/>
                <w:sz w:val="21"/>
                <w:szCs w:val="21"/>
                <w:highlight w:val="none"/>
                <w:lang w:val="zh-CN"/>
              </w:rPr>
              <w:t>分，每有一项中存在一处不合理的扣</w:t>
            </w:r>
            <w:r>
              <w:rPr>
                <w:rFonts w:ascii="Times New Roman"/>
                <w:sz w:val="21"/>
                <w:szCs w:val="21"/>
                <w:highlight w:val="none"/>
              </w:rPr>
              <w:t>1</w:t>
            </w:r>
            <w:r>
              <w:rPr>
                <w:rFonts w:hint="eastAsia" w:ascii="Times New Roman"/>
                <w:sz w:val="21"/>
                <w:szCs w:val="21"/>
                <w:highlight w:val="none"/>
                <w:lang w:val="zh-CN"/>
              </w:rPr>
              <w:t>分，</w:t>
            </w:r>
            <w:r>
              <w:rPr>
                <w:rFonts w:ascii="Times New Roman"/>
                <w:sz w:val="21"/>
                <w:szCs w:val="21"/>
                <w:highlight w:val="none"/>
              </w:rPr>
              <w:t>10</w:t>
            </w:r>
            <w:r>
              <w:rPr>
                <w:rFonts w:hint="eastAsia" w:ascii="Times New Roman"/>
                <w:sz w:val="21"/>
                <w:szCs w:val="21"/>
                <w:highlight w:val="none"/>
              </w:rPr>
              <w:t>分</w:t>
            </w:r>
            <w:r>
              <w:rPr>
                <w:rFonts w:hint="eastAsia" w:ascii="Times New Roman"/>
                <w:sz w:val="21"/>
                <w:szCs w:val="21"/>
                <w:highlight w:val="none"/>
                <w:lang w:val="zh-CN"/>
              </w:rPr>
              <w:t>扣完为止，未提供不得分。（</w:t>
            </w:r>
            <w:r>
              <w:rPr>
                <w:rFonts w:hint="eastAsia" w:ascii="Times New Roman"/>
                <w:sz w:val="21"/>
                <w:szCs w:val="21"/>
                <w:highlight w:val="none"/>
              </w:rPr>
              <w:t>不</w:t>
            </w:r>
            <w:r>
              <w:rPr>
                <w:rFonts w:hint="eastAsia" w:ascii="Times New Roman"/>
                <w:sz w:val="21"/>
                <w:szCs w:val="21"/>
                <w:highlight w:val="none"/>
                <w:lang w:val="zh-CN"/>
              </w:rPr>
              <w:t>合理是指实施方案</w:t>
            </w:r>
            <w:r>
              <w:rPr>
                <w:rFonts w:hint="eastAsia" w:ascii="Times New Roman"/>
                <w:sz w:val="21"/>
                <w:szCs w:val="21"/>
                <w:highlight w:val="none"/>
              </w:rPr>
              <w:t>与本次投标产品无关、</w:t>
            </w:r>
            <w:r>
              <w:rPr>
                <w:rFonts w:hint="eastAsia" w:ascii="Times New Roman"/>
                <w:sz w:val="21"/>
                <w:szCs w:val="21"/>
                <w:highlight w:val="none"/>
                <w:lang w:val="zh-CN"/>
              </w:rPr>
              <w:t>不存在不适用项目实际情况、凭空捏造、套用其他无关内容、逻辑漏洞、科学原理错误、内容不完整、实用性差以及与本项目无关等情况）。</w:t>
            </w:r>
          </w:p>
        </w:tc>
        <w:tc>
          <w:tcPr>
            <w:tcW w:w="565" w:type="pct"/>
            <w:tcBorders>
              <w:bottom w:val="single" w:color="auto" w:sz="4" w:space="0"/>
            </w:tcBorders>
            <w:noWrap/>
            <w:vAlign w:val="center"/>
          </w:tcPr>
          <w:p>
            <w:pPr>
              <w:pStyle w:val="11"/>
              <w:shd w:val="clear"/>
              <w:spacing w:line="360" w:lineRule="auto"/>
              <w:jc w:val="center"/>
              <w:rPr>
                <w:sz w:val="21"/>
                <w:szCs w:val="21"/>
                <w:highlight w:val="none"/>
              </w:rPr>
            </w:pPr>
            <w:r>
              <w:rPr>
                <w:rFonts w:hint="eastAsia" w:ascii="Times New Roman"/>
                <w:sz w:val="21"/>
                <w:szCs w:val="21"/>
                <w:highlight w:val="none"/>
              </w:rPr>
              <w:t>按要求提供详细的方案</w:t>
            </w:r>
          </w:p>
          <w:p>
            <w:pPr>
              <w:pStyle w:val="152"/>
              <w:shd w:val="clear"/>
              <w:spacing w:line="360" w:lineRule="auto"/>
              <w:rPr>
                <w:sz w:val="21"/>
                <w:szCs w:val="21"/>
                <w:highlight w:val="none"/>
              </w:rPr>
            </w:pPr>
          </w:p>
          <w:p>
            <w:pPr>
              <w:shd w:val="clear"/>
              <w:spacing w:line="360" w:lineRule="auto"/>
              <w:rPr>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73" w:type="pct"/>
            <w:noWrap/>
            <w:vAlign w:val="center"/>
          </w:tcPr>
          <w:p>
            <w:pPr>
              <w:widowControl/>
              <w:shd w:val="clear"/>
              <w:spacing w:line="360" w:lineRule="auto"/>
              <w:ind w:firstLine="210" w:firstLineChars="100"/>
              <w:rPr>
                <w:rFonts w:ascii="Times New Roman"/>
                <w:sz w:val="21"/>
                <w:szCs w:val="21"/>
                <w:highlight w:val="none"/>
              </w:rPr>
            </w:pPr>
            <w:r>
              <w:rPr>
                <w:rFonts w:hint="eastAsia" w:ascii="Times New Roman"/>
                <w:sz w:val="21"/>
                <w:szCs w:val="21"/>
                <w:highlight w:val="none"/>
              </w:rPr>
              <w:t>4</w:t>
            </w:r>
          </w:p>
        </w:tc>
        <w:tc>
          <w:tcPr>
            <w:tcW w:w="499" w:type="pct"/>
            <w:noWrap/>
            <w:vAlign w:val="center"/>
          </w:tcPr>
          <w:p>
            <w:pPr>
              <w:widowControl/>
              <w:shd w:val="clear"/>
              <w:spacing w:line="360" w:lineRule="auto"/>
              <w:jc w:val="center"/>
              <w:rPr>
                <w:rFonts w:ascii="Times New Roman"/>
                <w:sz w:val="21"/>
                <w:szCs w:val="21"/>
                <w:highlight w:val="none"/>
              </w:rPr>
            </w:pPr>
            <w:r>
              <w:rPr>
                <w:rFonts w:hint="eastAsia" w:ascii="Times New Roman"/>
                <w:sz w:val="21"/>
                <w:szCs w:val="21"/>
                <w:highlight w:val="none"/>
              </w:rPr>
              <w:t>业绩5%</w:t>
            </w:r>
          </w:p>
        </w:tc>
        <w:tc>
          <w:tcPr>
            <w:tcW w:w="498" w:type="pct"/>
            <w:noWrap/>
            <w:vAlign w:val="center"/>
          </w:tcPr>
          <w:p>
            <w:pPr>
              <w:widowControl/>
              <w:shd w:val="clear"/>
              <w:spacing w:line="360" w:lineRule="auto"/>
              <w:jc w:val="center"/>
              <w:rPr>
                <w:rFonts w:ascii="Times New Roman"/>
                <w:sz w:val="21"/>
                <w:szCs w:val="21"/>
                <w:highlight w:val="none"/>
              </w:rPr>
            </w:pPr>
            <w:r>
              <w:rPr>
                <w:rFonts w:hint="eastAsia" w:ascii="Times New Roman"/>
                <w:sz w:val="21"/>
                <w:szCs w:val="21"/>
                <w:highlight w:val="none"/>
              </w:rPr>
              <w:t>5分</w:t>
            </w:r>
          </w:p>
        </w:tc>
        <w:tc>
          <w:tcPr>
            <w:tcW w:w="3063" w:type="pct"/>
            <w:noWrap/>
            <w:vAlign w:val="center"/>
          </w:tcPr>
          <w:p>
            <w:pPr>
              <w:widowControl/>
              <w:shd w:val="clear"/>
              <w:spacing w:line="360" w:lineRule="auto"/>
              <w:rPr>
                <w:rFonts w:ascii="Times New Roman"/>
                <w:sz w:val="21"/>
                <w:szCs w:val="21"/>
                <w:highlight w:val="none"/>
              </w:rPr>
            </w:pPr>
            <w:r>
              <w:rPr>
                <w:rFonts w:hint="eastAsia" w:ascii="Times New Roman"/>
                <w:sz w:val="21"/>
                <w:szCs w:val="21"/>
                <w:highlight w:val="none"/>
              </w:rPr>
              <w:t>供应商提供自2019年1月1日至响应文件递交截止日自身签署的同类产品业绩，每提供1个得2.5分,最多得5分。</w:t>
            </w:r>
          </w:p>
          <w:p>
            <w:pPr>
              <w:widowControl/>
              <w:shd w:val="clear"/>
              <w:spacing w:line="360" w:lineRule="auto"/>
              <w:rPr>
                <w:rFonts w:ascii="Times New Roman"/>
                <w:sz w:val="21"/>
                <w:szCs w:val="21"/>
                <w:highlight w:val="none"/>
              </w:rPr>
            </w:pPr>
            <w:r>
              <w:rPr>
                <w:rFonts w:hint="eastAsia" w:ascii="Times New Roman"/>
                <w:b/>
                <w:bCs/>
                <w:sz w:val="21"/>
                <w:szCs w:val="21"/>
                <w:highlight w:val="none"/>
              </w:rPr>
              <w:t>注：提供合同复印件或中标（成交）通知书复印件。</w:t>
            </w:r>
          </w:p>
        </w:tc>
        <w:tc>
          <w:tcPr>
            <w:tcW w:w="565" w:type="pct"/>
            <w:noWrap/>
            <w:vAlign w:val="center"/>
          </w:tcPr>
          <w:p>
            <w:pPr>
              <w:widowControl/>
              <w:shd w:val="clear"/>
              <w:spacing w:line="360" w:lineRule="auto"/>
              <w:ind w:firstLine="420" w:firstLineChars="200"/>
              <w:rPr>
                <w:rFonts w:ascii="Times New Roman"/>
                <w:sz w:val="21"/>
                <w:szCs w:val="21"/>
                <w:highlight w:val="none"/>
              </w:rPr>
            </w:pPr>
          </w:p>
        </w:tc>
      </w:tr>
    </w:tbl>
    <w:p>
      <w:pPr>
        <w:pStyle w:val="24"/>
        <w:ind w:left="0" w:leftChars="0" w:firstLine="0" w:firstLineChars="0"/>
        <w:rPr>
          <w:rFonts w:hint="eastAsia"/>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emens Sans">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32" w:hanging="432"/>
      </w:pPr>
    </w:lvl>
    <w:lvl w:ilvl="1" w:tentative="0">
      <w:start w:val="1"/>
      <w:numFmt w:val="decimal"/>
      <w:pStyle w:val="3"/>
      <w:lvlText w:val="%1.%2"/>
      <w:lvlJc w:val="left"/>
      <w:pPr>
        <w:ind w:left="576" w:hanging="576"/>
      </w:pPr>
      <w:rPr>
        <w:rFonts w:hint="default" w:ascii="Times New Roman" w:hAnsi="Times New Roman" w:eastAsia="宋体" w:cs="Times New Roman"/>
        <w:b/>
        <w:sz w:val="24"/>
      </w:rPr>
    </w:lvl>
    <w:lvl w:ilvl="2" w:tentative="0">
      <w:start w:val="1"/>
      <w:numFmt w:val="decimal"/>
      <w:lvlText w:val="%1.%2.%3"/>
      <w:lvlJc w:val="left"/>
      <w:pPr>
        <w:ind w:left="1440" w:hanging="720"/>
      </w:pPr>
      <w:rPr>
        <w:b w:val="0"/>
        <w:sz w:val="24"/>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1"/>
      <w:numFmt w:val="lowerLetter"/>
      <w:pStyle w:val="39"/>
      <w:lvlText w:val="%5)"/>
      <w:lvlJc w:val="left"/>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ODljODI5MzA2ZjE2MzBjMzgwNjRlZjQyZjMxNmUifQ=="/>
  </w:docVars>
  <w:rsids>
    <w:rsidRoot w:val="00C843F2"/>
    <w:rsid w:val="00092B97"/>
    <w:rsid w:val="000A0612"/>
    <w:rsid w:val="00185ABD"/>
    <w:rsid w:val="0026106C"/>
    <w:rsid w:val="002B6923"/>
    <w:rsid w:val="005D0046"/>
    <w:rsid w:val="00661709"/>
    <w:rsid w:val="00697810"/>
    <w:rsid w:val="0084680D"/>
    <w:rsid w:val="0093592F"/>
    <w:rsid w:val="00963E8C"/>
    <w:rsid w:val="009E358A"/>
    <w:rsid w:val="00C843F2"/>
    <w:rsid w:val="00CC34E0"/>
    <w:rsid w:val="00CF3752"/>
    <w:rsid w:val="00D26E7D"/>
    <w:rsid w:val="01064C9A"/>
    <w:rsid w:val="012700CC"/>
    <w:rsid w:val="01761E20"/>
    <w:rsid w:val="01896462"/>
    <w:rsid w:val="01E01285"/>
    <w:rsid w:val="021653B1"/>
    <w:rsid w:val="02D93FE3"/>
    <w:rsid w:val="02DC5CB3"/>
    <w:rsid w:val="033024CC"/>
    <w:rsid w:val="036B1F0F"/>
    <w:rsid w:val="03B77D2F"/>
    <w:rsid w:val="03CD1D24"/>
    <w:rsid w:val="03D74D8B"/>
    <w:rsid w:val="03D7770A"/>
    <w:rsid w:val="03E07A24"/>
    <w:rsid w:val="040375E1"/>
    <w:rsid w:val="041D6583"/>
    <w:rsid w:val="043C7D0D"/>
    <w:rsid w:val="04763EE5"/>
    <w:rsid w:val="04ED064B"/>
    <w:rsid w:val="04F172D2"/>
    <w:rsid w:val="04FF3EDA"/>
    <w:rsid w:val="05544226"/>
    <w:rsid w:val="058F45ED"/>
    <w:rsid w:val="05A625A8"/>
    <w:rsid w:val="05AE2A93"/>
    <w:rsid w:val="05C018BB"/>
    <w:rsid w:val="05C25604"/>
    <w:rsid w:val="05D51777"/>
    <w:rsid w:val="06135E8F"/>
    <w:rsid w:val="067602E2"/>
    <w:rsid w:val="067B544F"/>
    <w:rsid w:val="06A42EEC"/>
    <w:rsid w:val="06B94916"/>
    <w:rsid w:val="06F859D9"/>
    <w:rsid w:val="071F0864"/>
    <w:rsid w:val="073F0F06"/>
    <w:rsid w:val="076C25EA"/>
    <w:rsid w:val="07D14E09"/>
    <w:rsid w:val="0825634E"/>
    <w:rsid w:val="084A7774"/>
    <w:rsid w:val="08566507"/>
    <w:rsid w:val="08930C4A"/>
    <w:rsid w:val="08AF5C17"/>
    <w:rsid w:val="08BC765B"/>
    <w:rsid w:val="09721645"/>
    <w:rsid w:val="09FE2E88"/>
    <w:rsid w:val="0A026946"/>
    <w:rsid w:val="0A402FCB"/>
    <w:rsid w:val="0A8E01DA"/>
    <w:rsid w:val="0AC030AE"/>
    <w:rsid w:val="0AF3003D"/>
    <w:rsid w:val="0AFA2EEC"/>
    <w:rsid w:val="0B147891"/>
    <w:rsid w:val="0B226B74"/>
    <w:rsid w:val="0B3A7D8F"/>
    <w:rsid w:val="0B664291"/>
    <w:rsid w:val="0BC973CF"/>
    <w:rsid w:val="0BCA5242"/>
    <w:rsid w:val="0C0B7510"/>
    <w:rsid w:val="0C0F6FC6"/>
    <w:rsid w:val="0C6A432F"/>
    <w:rsid w:val="0CA20090"/>
    <w:rsid w:val="0CD8398F"/>
    <w:rsid w:val="0CF06F2A"/>
    <w:rsid w:val="0CFA1E85"/>
    <w:rsid w:val="0D244E26"/>
    <w:rsid w:val="0D3A1F53"/>
    <w:rsid w:val="0D3C00FB"/>
    <w:rsid w:val="0D4465D9"/>
    <w:rsid w:val="0D584ACF"/>
    <w:rsid w:val="0D611BD6"/>
    <w:rsid w:val="0DAE649D"/>
    <w:rsid w:val="0DC91529"/>
    <w:rsid w:val="0DDC125D"/>
    <w:rsid w:val="0DED5676"/>
    <w:rsid w:val="0E197DBB"/>
    <w:rsid w:val="0E26072A"/>
    <w:rsid w:val="0E67321C"/>
    <w:rsid w:val="0E841E42"/>
    <w:rsid w:val="0E855450"/>
    <w:rsid w:val="0EA578A0"/>
    <w:rsid w:val="0EC4053E"/>
    <w:rsid w:val="0EDA023E"/>
    <w:rsid w:val="0F0071CD"/>
    <w:rsid w:val="0F5117D6"/>
    <w:rsid w:val="0F566DED"/>
    <w:rsid w:val="0F7D25CB"/>
    <w:rsid w:val="0F810DDD"/>
    <w:rsid w:val="0F987405"/>
    <w:rsid w:val="0FBF5D50"/>
    <w:rsid w:val="0FCC70AF"/>
    <w:rsid w:val="0FD44E53"/>
    <w:rsid w:val="0FDA2571"/>
    <w:rsid w:val="100B5E29"/>
    <w:rsid w:val="1032785A"/>
    <w:rsid w:val="109B3227"/>
    <w:rsid w:val="11165AAF"/>
    <w:rsid w:val="111D4066"/>
    <w:rsid w:val="111F7DDE"/>
    <w:rsid w:val="11405FA6"/>
    <w:rsid w:val="1173012A"/>
    <w:rsid w:val="118C5B39"/>
    <w:rsid w:val="119836B3"/>
    <w:rsid w:val="11B00A36"/>
    <w:rsid w:val="11D32976"/>
    <w:rsid w:val="12463148"/>
    <w:rsid w:val="126974E1"/>
    <w:rsid w:val="127727AC"/>
    <w:rsid w:val="12CE6428"/>
    <w:rsid w:val="12D16528"/>
    <w:rsid w:val="12E82421"/>
    <w:rsid w:val="13076D7C"/>
    <w:rsid w:val="13386F35"/>
    <w:rsid w:val="13A535A2"/>
    <w:rsid w:val="13B06039"/>
    <w:rsid w:val="13B3480E"/>
    <w:rsid w:val="13DD5D2E"/>
    <w:rsid w:val="1404150D"/>
    <w:rsid w:val="143C5C8D"/>
    <w:rsid w:val="144B72A5"/>
    <w:rsid w:val="14517829"/>
    <w:rsid w:val="14C777F4"/>
    <w:rsid w:val="14D80FC2"/>
    <w:rsid w:val="14EA0703"/>
    <w:rsid w:val="15085DE2"/>
    <w:rsid w:val="15194B44"/>
    <w:rsid w:val="151E69A1"/>
    <w:rsid w:val="152E19CD"/>
    <w:rsid w:val="15582FD7"/>
    <w:rsid w:val="15791055"/>
    <w:rsid w:val="15B42A4D"/>
    <w:rsid w:val="15E96C0C"/>
    <w:rsid w:val="15FD1B39"/>
    <w:rsid w:val="160E3AAC"/>
    <w:rsid w:val="16922E00"/>
    <w:rsid w:val="16A13043"/>
    <w:rsid w:val="16D31568"/>
    <w:rsid w:val="17005FBC"/>
    <w:rsid w:val="17163A31"/>
    <w:rsid w:val="174152C2"/>
    <w:rsid w:val="175F4645"/>
    <w:rsid w:val="17BD469E"/>
    <w:rsid w:val="17EC02EE"/>
    <w:rsid w:val="18277578"/>
    <w:rsid w:val="18552337"/>
    <w:rsid w:val="185540E5"/>
    <w:rsid w:val="185861F9"/>
    <w:rsid w:val="186802BC"/>
    <w:rsid w:val="1890336F"/>
    <w:rsid w:val="18C63235"/>
    <w:rsid w:val="18ED2570"/>
    <w:rsid w:val="190478B9"/>
    <w:rsid w:val="190855FC"/>
    <w:rsid w:val="190A2F89"/>
    <w:rsid w:val="1917583F"/>
    <w:rsid w:val="192835A8"/>
    <w:rsid w:val="19707003"/>
    <w:rsid w:val="19792055"/>
    <w:rsid w:val="198509FA"/>
    <w:rsid w:val="19E33051"/>
    <w:rsid w:val="1A141D7E"/>
    <w:rsid w:val="1A163D48"/>
    <w:rsid w:val="1A18361C"/>
    <w:rsid w:val="1A295829"/>
    <w:rsid w:val="1A572ED7"/>
    <w:rsid w:val="1B1207FD"/>
    <w:rsid w:val="1B222279"/>
    <w:rsid w:val="1B395F40"/>
    <w:rsid w:val="1B6C3998"/>
    <w:rsid w:val="1B8A61E8"/>
    <w:rsid w:val="1BB45A02"/>
    <w:rsid w:val="1BF105C9"/>
    <w:rsid w:val="1C1D3098"/>
    <w:rsid w:val="1C450915"/>
    <w:rsid w:val="1C5A760E"/>
    <w:rsid w:val="1C5D17BA"/>
    <w:rsid w:val="1C6E5776"/>
    <w:rsid w:val="1C8B19CE"/>
    <w:rsid w:val="1C9212FD"/>
    <w:rsid w:val="1CA4472F"/>
    <w:rsid w:val="1CAE0268"/>
    <w:rsid w:val="1CD203FA"/>
    <w:rsid w:val="1CFD2788"/>
    <w:rsid w:val="1D181FE2"/>
    <w:rsid w:val="1D437BBC"/>
    <w:rsid w:val="1D44297A"/>
    <w:rsid w:val="1D4E55A7"/>
    <w:rsid w:val="1D532BBD"/>
    <w:rsid w:val="1D5E58B6"/>
    <w:rsid w:val="1D836048"/>
    <w:rsid w:val="1DCA66AD"/>
    <w:rsid w:val="1DCA7323"/>
    <w:rsid w:val="1DED3012"/>
    <w:rsid w:val="1E015D5D"/>
    <w:rsid w:val="1E0F11DA"/>
    <w:rsid w:val="1E6C2189"/>
    <w:rsid w:val="1E6E6521"/>
    <w:rsid w:val="1E733517"/>
    <w:rsid w:val="1ED4263C"/>
    <w:rsid w:val="1FC658C9"/>
    <w:rsid w:val="20176124"/>
    <w:rsid w:val="20457135"/>
    <w:rsid w:val="206232C5"/>
    <w:rsid w:val="206A094A"/>
    <w:rsid w:val="20711584"/>
    <w:rsid w:val="2084272E"/>
    <w:rsid w:val="20994D8B"/>
    <w:rsid w:val="20AE50B9"/>
    <w:rsid w:val="20D277A8"/>
    <w:rsid w:val="20D9162C"/>
    <w:rsid w:val="20DD736E"/>
    <w:rsid w:val="21470A2A"/>
    <w:rsid w:val="21605633"/>
    <w:rsid w:val="219A700D"/>
    <w:rsid w:val="219C4B33"/>
    <w:rsid w:val="21D50FBA"/>
    <w:rsid w:val="21E64574"/>
    <w:rsid w:val="21FC3824"/>
    <w:rsid w:val="222B5EB7"/>
    <w:rsid w:val="22305EA6"/>
    <w:rsid w:val="229972C4"/>
    <w:rsid w:val="22DB78DD"/>
    <w:rsid w:val="23411BDC"/>
    <w:rsid w:val="23B73EA6"/>
    <w:rsid w:val="23F549CE"/>
    <w:rsid w:val="2446522A"/>
    <w:rsid w:val="248735D0"/>
    <w:rsid w:val="248F6BD1"/>
    <w:rsid w:val="24911365"/>
    <w:rsid w:val="24A63028"/>
    <w:rsid w:val="24DD0F90"/>
    <w:rsid w:val="24EC7B7F"/>
    <w:rsid w:val="25294507"/>
    <w:rsid w:val="253C019B"/>
    <w:rsid w:val="25493224"/>
    <w:rsid w:val="257C53A7"/>
    <w:rsid w:val="25822292"/>
    <w:rsid w:val="259D182C"/>
    <w:rsid w:val="25F413E1"/>
    <w:rsid w:val="2608161B"/>
    <w:rsid w:val="260A6548"/>
    <w:rsid w:val="260B672B"/>
    <w:rsid w:val="26193808"/>
    <w:rsid w:val="26667E05"/>
    <w:rsid w:val="266A3604"/>
    <w:rsid w:val="26AF175A"/>
    <w:rsid w:val="26B50445"/>
    <w:rsid w:val="26FB22FC"/>
    <w:rsid w:val="26FC3999"/>
    <w:rsid w:val="272C4BAB"/>
    <w:rsid w:val="27633B8D"/>
    <w:rsid w:val="279B64FE"/>
    <w:rsid w:val="27D86AE1"/>
    <w:rsid w:val="28732366"/>
    <w:rsid w:val="28A0474E"/>
    <w:rsid w:val="28A52951"/>
    <w:rsid w:val="28B6254D"/>
    <w:rsid w:val="29003BF9"/>
    <w:rsid w:val="2950368E"/>
    <w:rsid w:val="2996630C"/>
    <w:rsid w:val="2A157B78"/>
    <w:rsid w:val="2A7F3244"/>
    <w:rsid w:val="2AB23619"/>
    <w:rsid w:val="2AB2419B"/>
    <w:rsid w:val="2AC1476A"/>
    <w:rsid w:val="2AED732D"/>
    <w:rsid w:val="2B4952B8"/>
    <w:rsid w:val="2B4D50F0"/>
    <w:rsid w:val="2B7D45FE"/>
    <w:rsid w:val="2BAD6439"/>
    <w:rsid w:val="2BB97AC8"/>
    <w:rsid w:val="2BC353E3"/>
    <w:rsid w:val="2BCC070B"/>
    <w:rsid w:val="2BCE6231"/>
    <w:rsid w:val="2BD82C0B"/>
    <w:rsid w:val="2C022A46"/>
    <w:rsid w:val="2C6C77F8"/>
    <w:rsid w:val="2D2041E1"/>
    <w:rsid w:val="2D206481"/>
    <w:rsid w:val="2D4953AF"/>
    <w:rsid w:val="2D71048B"/>
    <w:rsid w:val="2D732D2E"/>
    <w:rsid w:val="2DD35D80"/>
    <w:rsid w:val="2DD90EBD"/>
    <w:rsid w:val="2E1D349F"/>
    <w:rsid w:val="2E427807"/>
    <w:rsid w:val="2E4E74CF"/>
    <w:rsid w:val="2EB040B0"/>
    <w:rsid w:val="2EC27BA3"/>
    <w:rsid w:val="2ED26E9A"/>
    <w:rsid w:val="2F087CAC"/>
    <w:rsid w:val="2F416D1A"/>
    <w:rsid w:val="2F462582"/>
    <w:rsid w:val="2FB658C5"/>
    <w:rsid w:val="2FB67708"/>
    <w:rsid w:val="30032221"/>
    <w:rsid w:val="3003763F"/>
    <w:rsid w:val="30057C02"/>
    <w:rsid w:val="302503E9"/>
    <w:rsid w:val="304C0260"/>
    <w:rsid w:val="304F5466"/>
    <w:rsid w:val="30520D2C"/>
    <w:rsid w:val="30A21A3A"/>
    <w:rsid w:val="30B414A4"/>
    <w:rsid w:val="30D37E45"/>
    <w:rsid w:val="30F92700"/>
    <w:rsid w:val="31327262"/>
    <w:rsid w:val="31A87524"/>
    <w:rsid w:val="31AC702A"/>
    <w:rsid w:val="31CD6F8B"/>
    <w:rsid w:val="31D341F4"/>
    <w:rsid w:val="321B3538"/>
    <w:rsid w:val="32252550"/>
    <w:rsid w:val="325925CC"/>
    <w:rsid w:val="328E671A"/>
    <w:rsid w:val="32904240"/>
    <w:rsid w:val="32A72670"/>
    <w:rsid w:val="32AB107A"/>
    <w:rsid w:val="32E5153A"/>
    <w:rsid w:val="32FF04F0"/>
    <w:rsid w:val="332022BC"/>
    <w:rsid w:val="33727DEA"/>
    <w:rsid w:val="337A6C9E"/>
    <w:rsid w:val="33A930DF"/>
    <w:rsid w:val="33F86541"/>
    <w:rsid w:val="341A6BFC"/>
    <w:rsid w:val="342C7F98"/>
    <w:rsid w:val="34362BC5"/>
    <w:rsid w:val="345614B9"/>
    <w:rsid w:val="34861291"/>
    <w:rsid w:val="34E56399"/>
    <w:rsid w:val="3511718E"/>
    <w:rsid w:val="35964167"/>
    <w:rsid w:val="35D47FE5"/>
    <w:rsid w:val="35E84C23"/>
    <w:rsid w:val="36203B2D"/>
    <w:rsid w:val="36296090"/>
    <w:rsid w:val="3679323D"/>
    <w:rsid w:val="36BF41CF"/>
    <w:rsid w:val="36C44FFE"/>
    <w:rsid w:val="36FC6348"/>
    <w:rsid w:val="37070849"/>
    <w:rsid w:val="374E6478"/>
    <w:rsid w:val="37517D16"/>
    <w:rsid w:val="376C3D5D"/>
    <w:rsid w:val="379E3814"/>
    <w:rsid w:val="38440B92"/>
    <w:rsid w:val="38986A00"/>
    <w:rsid w:val="38A02E69"/>
    <w:rsid w:val="38A04874"/>
    <w:rsid w:val="393050C2"/>
    <w:rsid w:val="3989662F"/>
    <w:rsid w:val="399D36E6"/>
    <w:rsid w:val="39A72954"/>
    <w:rsid w:val="39AD1B7B"/>
    <w:rsid w:val="39D5043D"/>
    <w:rsid w:val="3A02165C"/>
    <w:rsid w:val="3A103EB8"/>
    <w:rsid w:val="3A3B697E"/>
    <w:rsid w:val="3A856654"/>
    <w:rsid w:val="3AD76784"/>
    <w:rsid w:val="3B281155"/>
    <w:rsid w:val="3B507249"/>
    <w:rsid w:val="3B5A363D"/>
    <w:rsid w:val="3B611DA6"/>
    <w:rsid w:val="3B9D177C"/>
    <w:rsid w:val="3BD57167"/>
    <w:rsid w:val="3BE87534"/>
    <w:rsid w:val="3BE92042"/>
    <w:rsid w:val="3BF5780A"/>
    <w:rsid w:val="3C0D06AF"/>
    <w:rsid w:val="3C2A2EE4"/>
    <w:rsid w:val="3C544530"/>
    <w:rsid w:val="3C6A3001"/>
    <w:rsid w:val="3CCF0D19"/>
    <w:rsid w:val="3CDE029E"/>
    <w:rsid w:val="3D2F28A7"/>
    <w:rsid w:val="3D3029DA"/>
    <w:rsid w:val="3D404AB5"/>
    <w:rsid w:val="3D4E02BF"/>
    <w:rsid w:val="3D7B2841"/>
    <w:rsid w:val="3D9271D4"/>
    <w:rsid w:val="3DC01751"/>
    <w:rsid w:val="3DED3857"/>
    <w:rsid w:val="3DEE2762"/>
    <w:rsid w:val="3E200C94"/>
    <w:rsid w:val="3E5B4B34"/>
    <w:rsid w:val="3E656153"/>
    <w:rsid w:val="3E6B790F"/>
    <w:rsid w:val="3E7B60F0"/>
    <w:rsid w:val="3E834C59"/>
    <w:rsid w:val="3EBA79B5"/>
    <w:rsid w:val="3ED100BA"/>
    <w:rsid w:val="3F3146B5"/>
    <w:rsid w:val="3F3E429E"/>
    <w:rsid w:val="3F7E26D4"/>
    <w:rsid w:val="3F850EA5"/>
    <w:rsid w:val="3FA72BC9"/>
    <w:rsid w:val="3FE536F1"/>
    <w:rsid w:val="40156630"/>
    <w:rsid w:val="401F4E55"/>
    <w:rsid w:val="4035379F"/>
    <w:rsid w:val="40946E92"/>
    <w:rsid w:val="40B622DD"/>
    <w:rsid w:val="410B53D9"/>
    <w:rsid w:val="410F6C78"/>
    <w:rsid w:val="414F52C6"/>
    <w:rsid w:val="41656898"/>
    <w:rsid w:val="41707105"/>
    <w:rsid w:val="419373AC"/>
    <w:rsid w:val="41B8730F"/>
    <w:rsid w:val="41D46158"/>
    <w:rsid w:val="41D67281"/>
    <w:rsid w:val="423544BC"/>
    <w:rsid w:val="4286740D"/>
    <w:rsid w:val="428B210F"/>
    <w:rsid w:val="42934D5E"/>
    <w:rsid w:val="42FF3FC8"/>
    <w:rsid w:val="430D368B"/>
    <w:rsid w:val="431F3E5E"/>
    <w:rsid w:val="433405A4"/>
    <w:rsid w:val="43395482"/>
    <w:rsid w:val="434A21E9"/>
    <w:rsid w:val="435E7A42"/>
    <w:rsid w:val="436F1C50"/>
    <w:rsid w:val="439416B6"/>
    <w:rsid w:val="4396542E"/>
    <w:rsid w:val="43A71A66"/>
    <w:rsid w:val="43BF754B"/>
    <w:rsid w:val="43C33D49"/>
    <w:rsid w:val="43CD4BC8"/>
    <w:rsid w:val="43D441A9"/>
    <w:rsid w:val="43F81C45"/>
    <w:rsid w:val="443B678A"/>
    <w:rsid w:val="44823C05"/>
    <w:rsid w:val="4488746D"/>
    <w:rsid w:val="44A1408B"/>
    <w:rsid w:val="44E42230"/>
    <w:rsid w:val="45605CF4"/>
    <w:rsid w:val="45804248"/>
    <w:rsid w:val="45C7702F"/>
    <w:rsid w:val="45D16592"/>
    <w:rsid w:val="45DE30BD"/>
    <w:rsid w:val="45FE72BB"/>
    <w:rsid w:val="461F5BAF"/>
    <w:rsid w:val="4659767E"/>
    <w:rsid w:val="469824FD"/>
    <w:rsid w:val="46D33C4E"/>
    <w:rsid w:val="474B4782"/>
    <w:rsid w:val="476100A6"/>
    <w:rsid w:val="47947ED7"/>
    <w:rsid w:val="47A67C0A"/>
    <w:rsid w:val="480C3F11"/>
    <w:rsid w:val="481122AA"/>
    <w:rsid w:val="481132D5"/>
    <w:rsid w:val="484418FD"/>
    <w:rsid w:val="48644542"/>
    <w:rsid w:val="486A0C38"/>
    <w:rsid w:val="486A50DB"/>
    <w:rsid w:val="48965ED0"/>
    <w:rsid w:val="49621125"/>
    <w:rsid w:val="496537C4"/>
    <w:rsid w:val="49913A33"/>
    <w:rsid w:val="49A2398B"/>
    <w:rsid w:val="4A0B5F17"/>
    <w:rsid w:val="4A113D21"/>
    <w:rsid w:val="4A673681"/>
    <w:rsid w:val="4A6A13C3"/>
    <w:rsid w:val="4A9075D7"/>
    <w:rsid w:val="4A9563B7"/>
    <w:rsid w:val="4A9809EA"/>
    <w:rsid w:val="4AA22544"/>
    <w:rsid w:val="4B013AD5"/>
    <w:rsid w:val="4B166E55"/>
    <w:rsid w:val="4B253C93"/>
    <w:rsid w:val="4B2A0032"/>
    <w:rsid w:val="4B730D1B"/>
    <w:rsid w:val="4B840262"/>
    <w:rsid w:val="4BA6467C"/>
    <w:rsid w:val="4BD72A88"/>
    <w:rsid w:val="4C0F11AC"/>
    <w:rsid w:val="4C1B0E16"/>
    <w:rsid w:val="4C7E73A7"/>
    <w:rsid w:val="4CA74208"/>
    <w:rsid w:val="4CB55E41"/>
    <w:rsid w:val="4D072EF9"/>
    <w:rsid w:val="4D9C5D37"/>
    <w:rsid w:val="4E103510"/>
    <w:rsid w:val="4E724CEA"/>
    <w:rsid w:val="4E785A53"/>
    <w:rsid w:val="4ECB0E82"/>
    <w:rsid w:val="4EED611E"/>
    <w:rsid w:val="4F867B83"/>
    <w:rsid w:val="4F8C38EC"/>
    <w:rsid w:val="4F8F4357"/>
    <w:rsid w:val="50137E07"/>
    <w:rsid w:val="50151DD1"/>
    <w:rsid w:val="501F49FD"/>
    <w:rsid w:val="505E1082"/>
    <w:rsid w:val="5098335B"/>
    <w:rsid w:val="50C34382"/>
    <w:rsid w:val="511D0F3D"/>
    <w:rsid w:val="51222041"/>
    <w:rsid w:val="512978E2"/>
    <w:rsid w:val="51402E7D"/>
    <w:rsid w:val="519B6306"/>
    <w:rsid w:val="51DA0BDC"/>
    <w:rsid w:val="520143BB"/>
    <w:rsid w:val="520F5A11"/>
    <w:rsid w:val="525C3CE7"/>
    <w:rsid w:val="527A1448"/>
    <w:rsid w:val="528C3D9E"/>
    <w:rsid w:val="52B753C1"/>
    <w:rsid w:val="52C92CB6"/>
    <w:rsid w:val="52D94CF1"/>
    <w:rsid w:val="52FC32EC"/>
    <w:rsid w:val="53000B16"/>
    <w:rsid w:val="53896E88"/>
    <w:rsid w:val="547A66A6"/>
    <w:rsid w:val="54947768"/>
    <w:rsid w:val="54CB0D7E"/>
    <w:rsid w:val="54D9161F"/>
    <w:rsid w:val="54FD4801"/>
    <w:rsid w:val="550621EA"/>
    <w:rsid w:val="55285AF3"/>
    <w:rsid w:val="552C13A9"/>
    <w:rsid w:val="55395194"/>
    <w:rsid w:val="55622EFC"/>
    <w:rsid w:val="557A7812"/>
    <w:rsid w:val="55F66DE8"/>
    <w:rsid w:val="560949A5"/>
    <w:rsid w:val="566C542E"/>
    <w:rsid w:val="567743C1"/>
    <w:rsid w:val="56811F6E"/>
    <w:rsid w:val="568D446F"/>
    <w:rsid w:val="568E01E7"/>
    <w:rsid w:val="56BC2458"/>
    <w:rsid w:val="56D77DE0"/>
    <w:rsid w:val="56E524FD"/>
    <w:rsid w:val="573F20CA"/>
    <w:rsid w:val="57446FC4"/>
    <w:rsid w:val="574A6804"/>
    <w:rsid w:val="575907F5"/>
    <w:rsid w:val="578D17AC"/>
    <w:rsid w:val="57B10631"/>
    <w:rsid w:val="57C253DD"/>
    <w:rsid w:val="57D1482F"/>
    <w:rsid w:val="57EA66C9"/>
    <w:rsid w:val="585B1335"/>
    <w:rsid w:val="585D60C3"/>
    <w:rsid w:val="588933D3"/>
    <w:rsid w:val="589C308F"/>
    <w:rsid w:val="58B101BD"/>
    <w:rsid w:val="58C13AD6"/>
    <w:rsid w:val="58FF5334"/>
    <w:rsid w:val="590A514E"/>
    <w:rsid w:val="594C6863"/>
    <w:rsid w:val="596B480F"/>
    <w:rsid w:val="598B6331"/>
    <w:rsid w:val="59E20F76"/>
    <w:rsid w:val="5A3B262C"/>
    <w:rsid w:val="5A4F7C8D"/>
    <w:rsid w:val="5A706581"/>
    <w:rsid w:val="5AA71877"/>
    <w:rsid w:val="5AC80DA2"/>
    <w:rsid w:val="5AE866F9"/>
    <w:rsid w:val="5B29016F"/>
    <w:rsid w:val="5B8322E4"/>
    <w:rsid w:val="5BA5225B"/>
    <w:rsid w:val="5BAF06AC"/>
    <w:rsid w:val="5BAF0B8A"/>
    <w:rsid w:val="5BAF6C35"/>
    <w:rsid w:val="5BC125A7"/>
    <w:rsid w:val="5C0631BB"/>
    <w:rsid w:val="5C1B6461"/>
    <w:rsid w:val="5C2A16AA"/>
    <w:rsid w:val="5C2F421A"/>
    <w:rsid w:val="5C473312"/>
    <w:rsid w:val="5CA42512"/>
    <w:rsid w:val="5CC44962"/>
    <w:rsid w:val="5CDA167E"/>
    <w:rsid w:val="5D1327D6"/>
    <w:rsid w:val="5D3D64C3"/>
    <w:rsid w:val="5D6121B1"/>
    <w:rsid w:val="5D896EFE"/>
    <w:rsid w:val="5DA44220"/>
    <w:rsid w:val="5DCF2837"/>
    <w:rsid w:val="5DF92D9C"/>
    <w:rsid w:val="5E0A7F3C"/>
    <w:rsid w:val="5E3B6EA6"/>
    <w:rsid w:val="5E993BCD"/>
    <w:rsid w:val="5ED6097D"/>
    <w:rsid w:val="5EEA5D8B"/>
    <w:rsid w:val="5F020AA4"/>
    <w:rsid w:val="5F225970"/>
    <w:rsid w:val="5FC21725"/>
    <w:rsid w:val="5FC52ECB"/>
    <w:rsid w:val="602C2F4B"/>
    <w:rsid w:val="603B4F3C"/>
    <w:rsid w:val="604E30FB"/>
    <w:rsid w:val="607B1318"/>
    <w:rsid w:val="60D55390"/>
    <w:rsid w:val="60E75F5C"/>
    <w:rsid w:val="60EA231B"/>
    <w:rsid w:val="61623FA8"/>
    <w:rsid w:val="61763FB6"/>
    <w:rsid w:val="61E430BC"/>
    <w:rsid w:val="62015D11"/>
    <w:rsid w:val="621E68C3"/>
    <w:rsid w:val="623C0022"/>
    <w:rsid w:val="626544F2"/>
    <w:rsid w:val="62886432"/>
    <w:rsid w:val="62D82F16"/>
    <w:rsid w:val="62F13BF7"/>
    <w:rsid w:val="63091321"/>
    <w:rsid w:val="63107F67"/>
    <w:rsid w:val="636C365E"/>
    <w:rsid w:val="63727BAF"/>
    <w:rsid w:val="63746158"/>
    <w:rsid w:val="63AA3442"/>
    <w:rsid w:val="63E82B70"/>
    <w:rsid w:val="63EC1909"/>
    <w:rsid w:val="6412390B"/>
    <w:rsid w:val="642E6B65"/>
    <w:rsid w:val="64372583"/>
    <w:rsid w:val="64560791"/>
    <w:rsid w:val="64593481"/>
    <w:rsid w:val="647C1FC7"/>
    <w:rsid w:val="64B21544"/>
    <w:rsid w:val="64D67929"/>
    <w:rsid w:val="65711400"/>
    <w:rsid w:val="657809E0"/>
    <w:rsid w:val="65C53C15"/>
    <w:rsid w:val="65E47E23"/>
    <w:rsid w:val="66981900"/>
    <w:rsid w:val="66D9725C"/>
    <w:rsid w:val="66EC6F90"/>
    <w:rsid w:val="66ED4AB6"/>
    <w:rsid w:val="671977BD"/>
    <w:rsid w:val="671A57D3"/>
    <w:rsid w:val="672A2994"/>
    <w:rsid w:val="672C55DE"/>
    <w:rsid w:val="67553B2C"/>
    <w:rsid w:val="676905E0"/>
    <w:rsid w:val="67857173"/>
    <w:rsid w:val="67BB1D89"/>
    <w:rsid w:val="67E4410B"/>
    <w:rsid w:val="67E61C31"/>
    <w:rsid w:val="682B3AE8"/>
    <w:rsid w:val="685C1EF3"/>
    <w:rsid w:val="6871597E"/>
    <w:rsid w:val="68843ED2"/>
    <w:rsid w:val="68C301C4"/>
    <w:rsid w:val="68FB3846"/>
    <w:rsid w:val="692A0243"/>
    <w:rsid w:val="69A0474F"/>
    <w:rsid w:val="69BE38DA"/>
    <w:rsid w:val="6A2109F5"/>
    <w:rsid w:val="6A586E3B"/>
    <w:rsid w:val="6A5E63F6"/>
    <w:rsid w:val="6A600ADD"/>
    <w:rsid w:val="6A995680"/>
    <w:rsid w:val="6AAD2EDA"/>
    <w:rsid w:val="6ACB7804"/>
    <w:rsid w:val="6B2C0C00"/>
    <w:rsid w:val="6B307ED7"/>
    <w:rsid w:val="6B343C09"/>
    <w:rsid w:val="6BAC13E3"/>
    <w:rsid w:val="6BC20E56"/>
    <w:rsid w:val="6BC56001"/>
    <w:rsid w:val="6C0A493E"/>
    <w:rsid w:val="6C0B610A"/>
    <w:rsid w:val="6C0C4E78"/>
    <w:rsid w:val="6C267119"/>
    <w:rsid w:val="6C370AC3"/>
    <w:rsid w:val="6C467142"/>
    <w:rsid w:val="6C5C5F78"/>
    <w:rsid w:val="6C6440D4"/>
    <w:rsid w:val="6C6D5520"/>
    <w:rsid w:val="6CBE13CE"/>
    <w:rsid w:val="6CD6081F"/>
    <w:rsid w:val="6D1651F5"/>
    <w:rsid w:val="6D722772"/>
    <w:rsid w:val="6DC76061"/>
    <w:rsid w:val="6DFD1A82"/>
    <w:rsid w:val="6DFE3272"/>
    <w:rsid w:val="6E1061C3"/>
    <w:rsid w:val="6E644262"/>
    <w:rsid w:val="6E963C85"/>
    <w:rsid w:val="6EA43C98"/>
    <w:rsid w:val="6F23376B"/>
    <w:rsid w:val="6F4D6522"/>
    <w:rsid w:val="6F5131E9"/>
    <w:rsid w:val="6F5B1156"/>
    <w:rsid w:val="6FAD572A"/>
    <w:rsid w:val="6FAF4FFE"/>
    <w:rsid w:val="6FB15E65"/>
    <w:rsid w:val="6FC211D5"/>
    <w:rsid w:val="70185330"/>
    <w:rsid w:val="70946286"/>
    <w:rsid w:val="70B0102E"/>
    <w:rsid w:val="70C31437"/>
    <w:rsid w:val="70D63069"/>
    <w:rsid w:val="70DC0075"/>
    <w:rsid w:val="70DC1E23"/>
    <w:rsid w:val="711E3315"/>
    <w:rsid w:val="714E5181"/>
    <w:rsid w:val="71945B8B"/>
    <w:rsid w:val="720F447A"/>
    <w:rsid w:val="7229553C"/>
    <w:rsid w:val="723143F0"/>
    <w:rsid w:val="72446C77"/>
    <w:rsid w:val="72556331"/>
    <w:rsid w:val="72767CFA"/>
    <w:rsid w:val="72956120"/>
    <w:rsid w:val="72A93F87"/>
    <w:rsid w:val="72F003FB"/>
    <w:rsid w:val="72FB0423"/>
    <w:rsid w:val="733221CE"/>
    <w:rsid w:val="738D03CC"/>
    <w:rsid w:val="73BE1EBD"/>
    <w:rsid w:val="73F27BAF"/>
    <w:rsid w:val="740801C6"/>
    <w:rsid w:val="74094823"/>
    <w:rsid w:val="743E4BA3"/>
    <w:rsid w:val="74485A21"/>
    <w:rsid w:val="746960C4"/>
    <w:rsid w:val="74D97C2C"/>
    <w:rsid w:val="7523458C"/>
    <w:rsid w:val="75300C0B"/>
    <w:rsid w:val="75D67789"/>
    <w:rsid w:val="76F94F75"/>
    <w:rsid w:val="76FF2D0F"/>
    <w:rsid w:val="76FF7CFF"/>
    <w:rsid w:val="779C2EB7"/>
    <w:rsid w:val="77C90C27"/>
    <w:rsid w:val="78106856"/>
    <w:rsid w:val="781214EA"/>
    <w:rsid w:val="78385B80"/>
    <w:rsid w:val="789F76EF"/>
    <w:rsid w:val="78CD4747"/>
    <w:rsid w:val="78E60E20"/>
    <w:rsid w:val="790F35C9"/>
    <w:rsid w:val="79234DC9"/>
    <w:rsid w:val="793547C6"/>
    <w:rsid w:val="79404F19"/>
    <w:rsid w:val="79657FF1"/>
    <w:rsid w:val="796E5F2A"/>
    <w:rsid w:val="798B6ADC"/>
    <w:rsid w:val="7A1F0FD2"/>
    <w:rsid w:val="7A3A5E0C"/>
    <w:rsid w:val="7A432F13"/>
    <w:rsid w:val="7A651605"/>
    <w:rsid w:val="7A7D7746"/>
    <w:rsid w:val="7AD61FD9"/>
    <w:rsid w:val="7AE04C06"/>
    <w:rsid w:val="7B1765AB"/>
    <w:rsid w:val="7B5776BB"/>
    <w:rsid w:val="7B6E0463"/>
    <w:rsid w:val="7B6E5D6D"/>
    <w:rsid w:val="7BB941AD"/>
    <w:rsid w:val="7C1903CF"/>
    <w:rsid w:val="7C75312C"/>
    <w:rsid w:val="7C7C44BA"/>
    <w:rsid w:val="7CEA00DC"/>
    <w:rsid w:val="7D52346D"/>
    <w:rsid w:val="7D702AB2"/>
    <w:rsid w:val="7D7D04EA"/>
    <w:rsid w:val="7E156974"/>
    <w:rsid w:val="7E18464E"/>
    <w:rsid w:val="7E33329E"/>
    <w:rsid w:val="7E3C2153"/>
    <w:rsid w:val="7E503E50"/>
    <w:rsid w:val="7E685FC8"/>
    <w:rsid w:val="7E933D3D"/>
    <w:rsid w:val="7EA24039"/>
    <w:rsid w:val="7EAF4112"/>
    <w:rsid w:val="7ECB797B"/>
    <w:rsid w:val="7EE12CFA"/>
    <w:rsid w:val="7EF742CC"/>
    <w:rsid w:val="7F0C421B"/>
    <w:rsid w:val="7F435763"/>
    <w:rsid w:val="7F73429A"/>
    <w:rsid w:val="7F8E2E82"/>
    <w:rsid w:val="7FA728CD"/>
    <w:rsid w:val="7FC17280"/>
    <w:rsid w:val="7FCC7507"/>
    <w:rsid w:val="7FD4460D"/>
    <w:rsid w:val="7FD454ED"/>
    <w:rsid w:val="7FE74340"/>
    <w:rsid w:val="7FF32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numPr>
        <w:ilvl w:val="1"/>
        <w:numId w:val="1"/>
      </w:numPr>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200" w:firstLineChars="200"/>
    </w:pPr>
  </w:style>
  <w:style w:type="paragraph" w:styleId="8">
    <w:name w:val="caption"/>
    <w:basedOn w:val="1"/>
    <w:next w:val="1"/>
    <w:autoRedefine/>
    <w:qFormat/>
    <w:uiPriority w:val="0"/>
    <w:rPr>
      <w:rFonts w:ascii="Arial" w:hAnsi="Arial" w:eastAsia="黑体" w:cs="Arial"/>
      <w:sz w:val="20"/>
      <w:szCs w:val="20"/>
    </w:rPr>
  </w:style>
  <w:style w:type="paragraph" w:styleId="9">
    <w:name w:val="toa heading"/>
    <w:basedOn w:val="1"/>
    <w:next w:val="1"/>
    <w:autoRedefine/>
    <w:qFormat/>
    <w:uiPriority w:val="0"/>
    <w:pPr>
      <w:spacing w:before="120" w:beforeLines="0" w:beforeAutospacing="0"/>
    </w:pPr>
    <w:rPr>
      <w:rFonts w:ascii="Arial" w:hAnsi="Arial"/>
      <w:sz w:val="24"/>
    </w:rPr>
  </w:style>
  <w:style w:type="paragraph" w:styleId="10">
    <w:name w:val="annotation text"/>
    <w:basedOn w:val="1"/>
    <w:autoRedefine/>
    <w:qFormat/>
    <w:uiPriority w:val="0"/>
    <w:pPr>
      <w:jc w:val="left"/>
    </w:pPr>
  </w:style>
  <w:style w:type="paragraph" w:styleId="11">
    <w:name w:val="Body Text"/>
    <w:basedOn w:val="1"/>
    <w:next w:val="1"/>
    <w:autoRedefine/>
    <w:qFormat/>
    <w:uiPriority w:val="0"/>
    <w:pPr>
      <w:spacing w:after="120"/>
    </w:pPr>
    <w:rPr>
      <w:rFonts w:ascii="Times New Roman"/>
    </w:rPr>
  </w:style>
  <w:style w:type="paragraph" w:styleId="12">
    <w:name w:val="Body Text Indent"/>
    <w:basedOn w:val="1"/>
    <w:next w:val="13"/>
    <w:autoRedefine/>
    <w:qFormat/>
    <w:uiPriority w:val="99"/>
    <w:pPr>
      <w:ind w:firstLine="630"/>
    </w:pPr>
    <w:rPr>
      <w:rFonts w:eastAsia="Times New Roman"/>
      <w:sz w:val="32"/>
      <w:szCs w:val="20"/>
    </w:rPr>
  </w:style>
  <w:style w:type="paragraph" w:styleId="13">
    <w:name w:val="envelope return"/>
    <w:basedOn w:val="1"/>
    <w:autoRedefine/>
    <w:qFormat/>
    <w:uiPriority w:val="0"/>
    <w:pPr>
      <w:snapToGrid w:val="0"/>
    </w:pPr>
    <w:rPr>
      <w:rFonts w:ascii="Arial" w:hAnsi="Arial" w:cs="Arial"/>
    </w:rPr>
  </w:style>
  <w:style w:type="paragraph" w:styleId="14">
    <w:name w:val="Plain Text"/>
    <w:basedOn w:val="1"/>
    <w:autoRedefine/>
    <w:qFormat/>
    <w:uiPriority w:val="0"/>
    <w:rPr>
      <w:rFonts w:ascii="宋体" w:hAnsi="Courier New"/>
    </w:rPr>
  </w:style>
  <w:style w:type="paragraph" w:styleId="15">
    <w:name w:val="Date"/>
    <w:basedOn w:val="1"/>
    <w:next w:val="1"/>
    <w:autoRedefine/>
    <w:qFormat/>
    <w:uiPriority w:val="0"/>
    <w:rPr>
      <w:color w:val="000000"/>
      <w:kern w:val="0"/>
      <w:sz w:val="30"/>
    </w:rPr>
  </w:style>
  <w:style w:type="paragraph" w:styleId="16">
    <w:name w:val="Balloon Text"/>
    <w:basedOn w:val="1"/>
    <w:autoRedefine/>
    <w:qFormat/>
    <w:uiPriority w:val="99"/>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unhideWhenUsed/>
    <w:qFormat/>
    <w:uiPriority w:val="39"/>
  </w:style>
  <w:style w:type="paragraph" w:styleId="20">
    <w:name w:val="Subtitle"/>
    <w:basedOn w:val="1"/>
    <w:next w:val="1"/>
    <w:autoRedefine/>
    <w:qFormat/>
    <w:uiPriority w:val="0"/>
    <w:pPr>
      <w:spacing w:line="312" w:lineRule="auto"/>
      <w:jc w:val="left"/>
      <w:outlineLvl w:val="1"/>
    </w:pPr>
    <w:rPr>
      <w:rFonts w:ascii="Cambria" w:hAnsi="Cambria"/>
      <w:b/>
      <w:bCs/>
      <w:kern w:val="28"/>
      <w:szCs w:val="32"/>
    </w:rPr>
  </w:style>
  <w:style w:type="paragraph" w:styleId="21">
    <w:name w:val="Body Text 2"/>
    <w:basedOn w:val="1"/>
    <w:autoRedefine/>
    <w:unhideWhenUsed/>
    <w:qFormat/>
    <w:uiPriority w:val="0"/>
    <w:pPr>
      <w:spacing w:line="500" w:lineRule="atLeast"/>
      <w:ind w:right="640"/>
    </w:pPr>
    <w:rPr>
      <w:rFonts w:ascii="宋体" w:hAnsi="宋体" w:eastAsia="宋体" w:cs="Times New Roman"/>
      <w:b/>
      <w:sz w:val="20"/>
      <w:szCs w:val="44"/>
    </w:rPr>
  </w:style>
  <w:style w:type="paragraph" w:styleId="22">
    <w:name w:val="Normal (Web)"/>
    <w:basedOn w:val="1"/>
    <w:autoRedefine/>
    <w:qFormat/>
    <w:uiPriority w:val="0"/>
    <w:pPr>
      <w:spacing w:beforeAutospacing="1" w:afterAutospacing="1"/>
      <w:jc w:val="left"/>
    </w:pPr>
    <w:rPr>
      <w:rFonts w:cs="Times New Roman"/>
      <w:kern w:val="0"/>
      <w:sz w:val="24"/>
    </w:rPr>
  </w:style>
  <w:style w:type="paragraph" w:styleId="23">
    <w:name w:val="Body Text First Indent"/>
    <w:basedOn w:val="11"/>
    <w:next w:val="24"/>
    <w:autoRedefine/>
    <w:unhideWhenUsed/>
    <w:qFormat/>
    <w:uiPriority w:val="99"/>
    <w:pPr>
      <w:ind w:firstLine="420" w:firstLineChars="100"/>
    </w:pPr>
  </w:style>
  <w:style w:type="paragraph" w:customStyle="1" w:styleId="24">
    <w:name w:val="段落正文"/>
    <w:basedOn w:val="9"/>
    <w:autoRedefine/>
    <w:qFormat/>
    <w:uiPriority w:val="99"/>
    <w:pPr>
      <w:spacing w:beforeLines="50" w:line="360" w:lineRule="auto"/>
      <w:ind w:firstLine="200" w:firstLineChars="200"/>
    </w:pPr>
    <w:rPr>
      <w:spacing w:val="2"/>
      <w:sz w:val="24"/>
      <w:szCs w:val="20"/>
    </w:rPr>
  </w:style>
  <w:style w:type="paragraph" w:styleId="25">
    <w:name w:val="Body Text First Indent 2"/>
    <w:basedOn w:val="12"/>
    <w:next w:val="1"/>
    <w:autoRedefine/>
    <w:qFormat/>
    <w:uiPriority w:val="99"/>
    <w:pPr>
      <w:spacing w:after="120"/>
      <w:ind w:left="420" w:leftChars="200" w:firstLine="420" w:firstLineChars="200"/>
    </w:pPr>
    <w:rPr>
      <w:rFonts w:ascii="Calibri" w:hAnsi="Calibri" w:eastAsia="宋体"/>
      <w:sz w:val="21"/>
      <w:szCs w:val="22"/>
    </w:rPr>
  </w:style>
  <w:style w:type="table" w:styleId="27">
    <w:name w:val="Table Grid"/>
    <w:basedOn w:val="2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FollowedHyperlink"/>
    <w:basedOn w:val="28"/>
    <w:autoRedefine/>
    <w:qFormat/>
    <w:uiPriority w:val="0"/>
    <w:rPr>
      <w:rFonts w:hint="eastAsia" w:ascii="宋体" w:hAnsi="宋体" w:eastAsia="宋体" w:cs="宋体"/>
      <w:color w:val="5A5A5A"/>
      <w:sz w:val="19"/>
      <w:szCs w:val="19"/>
      <w:u w:val="none"/>
    </w:rPr>
  </w:style>
  <w:style w:type="character" w:styleId="31">
    <w:name w:val="Emphasis"/>
    <w:basedOn w:val="28"/>
    <w:autoRedefine/>
    <w:qFormat/>
    <w:uiPriority w:val="0"/>
  </w:style>
  <w:style w:type="character" w:styleId="32">
    <w:name w:val="HTML Definition"/>
    <w:basedOn w:val="28"/>
    <w:autoRedefine/>
    <w:qFormat/>
    <w:uiPriority w:val="0"/>
  </w:style>
  <w:style w:type="character" w:styleId="33">
    <w:name w:val="HTML Variable"/>
    <w:basedOn w:val="28"/>
    <w:autoRedefine/>
    <w:qFormat/>
    <w:uiPriority w:val="0"/>
  </w:style>
  <w:style w:type="character" w:styleId="34">
    <w:name w:val="Hyperlink"/>
    <w:basedOn w:val="28"/>
    <w:autoRedefine/>
    <w:qFormat/>
    <w:uiPriority w:val="0"/>
    <w:rPr>
      <w:rFonts w:hint="eastAsia" w:ascii="宋体" w:hAnsi="宋体" w:eastAsia="宋体" w:cs="宋体"/>
      <w:color w:val="5A5A5A"/>
      <w:sz w:val="19"/>
      <w:szCs w:val="19"/>
      <w:u w:val="none"/>
    </w:rPr>
  </w:style>
  <w:style w:type="character" w:styleId="35">
    <w:name w:val="HTML Code"/>
    <w:basedOn w:val="28"/>
    <w:autoRedefine/>
    <w:qFormat/>
    <w:uiPriority w:val="0"/>
    <w:rPr>
      <w:rFonts w:ascii="Courier New" w:hAnsi="Courier New"/>
      <w:sz w:val="20"/>
    </w:rPr>
  </w:style>
  <w:style w:type="character" w:styleId="36">
    <w:name w:val="annotation reference"/>
    <w:basedOn w:val="28"/>
    <w:autoRedefine/>
    <w:qFormat/>
    <w:uiPriority w:val="0"/>
    <w:rPr>
      <w:sz w:val="21"/>
      <w:szCs w:val="21"/>
    </w:rPr>
  </w:style>
  <w:style w:type="character" w:styleId="37">
    <w:name w:val="HTML Cite"/>
    <w:basedOn w:val="28"/>
    <w:autoRedefine/>
    <w:qFormat/>
    <w:uiPriority w:val="0"/>
  </w:style>
  <w:style w:type="character" w:styleId="38">
    <w:name w:val="HTML Sample"/>
    <w:basedOn w:val="28"/>
    <w:autoRedefine/>
    <w:qFormat/>
    <w:uiPriority w:val="0"/>
    <w:rPr>
      <w:rFonts w:ascii="Courier New" w:hAnsi="Courier New"/>
    </w:rPr>
  </w:style>
  <w:style w:type="paragraph" w:customStyle="1" w:styleId="39">
    <w:name w:val="标题 5（有编号）（绿盟科技）"/>
    <w:next w:val="40"/>
    <w:autoRedefine/>
    <w:qFormat/>
    <w:uiPriority w:val="0"/>
    <w:pPr>
      <w:keepNext/>
      <w:keepLines/>
      <w:widowControl w:val="0"/>
      <w:numPr>
        <w:ilvl w:val="4"/>
        <w:numId w:val="2"/>
      </w:numPr>
      <w:spacing w:before="280" w:after="156" w:line="377" w:lineRule="auto"/>
      <w:outlineLvl w:val="4"/>
    </w:pPr>
    <w:rPr>
      <w:rFonts w:ascii="Arial" w:hAnsi="Arial" w:eastAsia="黑体" w:cs="Times New Roman"/>
      <w:b/>
      <w:sz w:val="24"/>
      <w:szCs w:val="28"/>
      <w:lang w:val="en-US" w:eastAsia="zh-CN" w:bidi="ar-SA"/>
    </w:rPr>
  </w:style>
  <w:style w:type="paragraph" w:customStyle="1" w:styleId="40">
    <w:name w:val="正文（绿盟科技）"/>
    <w:autoRedefine/>
    <w:qFormat/>
    <w:uiPriority w:val="0"/>
    <w:pPr>
      <w:spacing w:line="300" w:lineRule="auto"/>
    </w:pPr>
    <w:rPr>
      <w:rFonts w:ascii="Arial" w:hAnsi="Arial" w:eastAsia="Calibri" w:cs="Times New Roman"/>
      <w:sz w:val="21"/>
      <w:szCs w:val="21"/>
      <w:lang w:val="en-US" w:eastAsia="zh-CN" w:bidi="ar-SA"/>
    </w:rPr>
  </w:style>
  <w:style w:type="paragraph" w:customStyle="1" w:styleId="41">
    <w:name w:val="Default"/>
    <w:next w:val="42"/>
    <w:autoRedefine/>
    <w:qFormat/>
    <w:uiPriority w:val="0"/>
    <w:pPr>
      <w:widowControl w:val="0"/>
      <w:autoSpaceDE w:val="0"/>
      <w:autoSpaceDN w:val="0"/>
      <w:adjustRightInd w:val="0"/>
      <w:spacing w:after="160" w:line="259" w:lineRule="auto"/>
    </w:pPr>
    <w:rPr>
      <w:rFonts w:ascii="宋体" w:hAnsi="等线" w:eastAsia="等线" w:cs="宋体"/>
      <w:color w:val="000000"/>
      <w:sz w:val="24"/>
      <w:szCs w:val="24"/>
      <w:lang w:val="en-US" w:eastAsia="zh-CN" w:bidi="ar-SA"/>
    </w:rPr>
  </w:style>
  <w:style w:type="paragraph" w:customStyle="1" w:styleId="42">
    <w:name w:val="大标题"/>
    <w:basedOn w:val="1"/>
    <w:next w:val="25"/>
    <w:autoRedefine/>
    <w:qFormat/>
    <w:uiPriority w:val="0"/>
    <w:pPr>
      <w:jc w:val="center"/>
    </w:pPr>
    <w:rPr>
      <w:rFonts w:ascii="Arial" w:hAnsi="Arial" w:eastAsia="宋体"/>
      <w:b/>
      <w:sz w:val="28"/>
      <w:szCs w:val="24"/>
    </w:rPr>
  </w:style>
  <w:style w:type="paragraph" w:customStyle="1" w:styleId="43">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44">
    <w:name w:val="引用1"/>
    <w:basedOn w:val="1"/>
    <w:next w:val="1"/>
    <w:autoRedefine/>
    <w:qFormat/>
    <w:uiPriority w:val="0"/>
    <w:pPr>
      <w:wordWrap w:val="0"/>
      <w:spacing w:before="200" w:after="160"/>
      <w:ind w:left="864" w:right="864"/>
      <w:jc w:val="center"/>
    </w:pPr>
    <w:rPr>
      <w:rFonts w:ascii="Times New Roman" w:hAnsi="Times New Roman" w:eastAsia="宋体" w:cs="Times New Roman"/>
      <w:i/>
    </w:rPr>
  </w:style>
  <w:style w:type="paragraph" w:customStyle="1" w:styleId="45">
    <w:name w:val="正文首行缩进两字符"/>
    <w:basedOn w:val="1"/>
    <w:next w:val="1"/>
    <w:autoRedefine/>
    <w:qFormat/>
    <w:uiPriority w:val="0"/>
    <w:pPr>
      <w:spacing w:line="360" w:lineRule="auto"/>
      <w:ind w:firstLine="200" w:firstLineChars="200"/>
    </w:pPr>
  </w:style>
  <w:style w:type="character" w:customStyle="1" w:styleId="46">
    <w:name w:val="font91"/>
    <w:basedOn w:val="28"/>
    <w:autoRedefine/>
    <w:qFormat/>
    <w:uiPriority w:val="0"/>
    <w:rPr>
      <w:rFonts w:hint="eastAsia" w:ascii="宋体" w:hAnsi="宋体" w:eastAsia="宋体" w:cs="宋体"/>
      <w:color w:val="000000"/>
      <w:sz w:val="20"/>
      <w:szCs w:val="20"/>
      <w:u w:val="none"/>
    </w:rPr>
  </w:style>
  <w:style w:type="character" w:customStyle="1" w:styleId="47">
    <w:name w:val="font51"/>
    <w:basedOn w:val="28"/>
    <w:autoRedefine/>
    <w:qFormat/>
    <w:uiPriority w:val="0"/>
    <w:rPr>
      <w:rFonts w:hint="default" w:ascii="Arial" w:hAnsi="Arial" w:cs="Arial"/>
      <w:color w:val="000000"/>
      <w:sz w:val="20"/>
      <w:szCs w:val="20"/>
      <w:u w:val="none"/>
    </w:rPr>
  </w:style>
  <w:style w:type="character" w:customStyle="1" w:styleId="48">
    <w:name w:val="font141"/>
    <w:basedOn w:val="28"/>
    <w:autoRedefine/>
    <w:qFormat/>
    <w:uiPriority w:val="0"/>
    <w:rPr>
      <w:rFonts w:hint="default" w:ascii="Siemens Sans" w:hAnsi="Siemens Sans" w:eastAsia="Siemens Sans" w:cs="Siemens Sans"/>
      <w:color w:val="000000"/>
      <w:sz w:val="20"/>
      <w:szCs w:val="20"/>
      <w:u w:val="none"/>
    </w:rPr>
  </w:style>
  <w:style w:type="paragraph" w:customStyle="1" w:styleId="49">
    <w:name w:val="正文（缩进）"/>
    <w:basedOn w:val="1"/>
    <w:autoRedefine/>
    <w:qFormat/>
    <w:uiPriority w:val="0"/>
    <w:pPr>
      <w:spacing w:beforeLines="50" w:afterLines="50" w:line="360" w:lineRule="auto"/>
      <w:ind w:firstLine="480" w:firstLineChars="200"/>
    </w:pPr>
    <w:rPr>
      <w:rFonts w:ascii="Calibri" w:hAnsi="Calibri" w:eastAsia="宋体" w:cs="Times New Roman"/>
      <w:sz w:val="24"/>
    </w:rPr>
  </w:style>
  <w:style w:type="character" w:customStyle="1" w:styleId="50">
    <w:name w:val="not([class*=suffix])"/>
    <w:basedOn w:val="28"/>
    <w:autoRedefine/>
    <w:qFormat/>
    <w:uiPriority w:val="0"/>
    <w:rPr>
      <w:sz w:val="19"/>
      <w:szCs w:val="19"/>
    </w:rPr>
  </w:style>
  <w:style w:type="character" w:customStyle="1" w:styleId="51">
    <w:name w:val="not([class*=suffix])1"/>
    <w:basedOn w:val="28"/>
    <w:autoRedefine/>
    <w:qFormat/>
    <w:uiPriority w:val="0"/>
  </w:style>
  <w:style w:type="character" w:customStyle="1" w:styleId="52">
    <w:name w:val="star0"/>
    <w:basedOn w:val="28"/>
    <w:autoRedefine/>
    <w:qFormat/>
    <w:uiPriority w:val="0"/>
    <w:rPr>
      <w:vanish/>
    </w:rPr>
  </w:style>
  <w:style w:type="character" w:customStyle="1" w:styleId="53">
    <w:name w:val="star01"/>
    <w:basedOn w:val="28"/>
    <w:autoRedefine/>
    <w:qFormat/>
    <w:uiPriority w:val="0"/>
  </w:style>
  <w:style w:type="character" w:customStyle="1" w:styleId="54">
    <w:name w:val="price"/>
    <w:basedOn w:val="28"/>
    <w:autoRedefine/>
    <w:qFormat/>
    <w:uiPriority w:val="0"/>
  </w:style>
  <w:style w:type="character" w:customStyle="1" w:styleId="55">
    <w:name w:val="price1"/>
    <w:basedOn w:val="28"/>
    <w:autoRedefine/>
    <w:qFormat/>
    <w:uiPriority w:val="0"/>
  </w:style>
  <w:style w:type="character" w:customStyle="1" w:styleId="56">
    <w:name w:val="price2"/>
    <w:basedOn w:val="28"/>
    <w:autoRedefine/>
    <w:qFormat/>
    <w:uiPriority w:val="0"/>
  </w:style>
  <w:style w:type="character" w:customStyle="1" w:styleId="57">
    <w:name w:val="price3"/>
    <w:basedOn w:val="28"/>
    <w:autoRedefine/>
    <w:qFormat/>
    <w:uiPriority w:val="0"/>
  </w:style>
  <w:style w:type="character" w:customStyle="1" w:styleId="58">
    <w:name w:val="price4"/>
    <w:basedOn w:val="28"/>
    <w:autoRedefine/>
    <w:qFormat/>
    <w:uiPriority w:val="0"/>
  </w:style>
  <w:style w:type="character" w:customStyle="1" w:styleId="59">
    <w:name w:val="price5"/>
    <w:basedOn w:val="28"/>
    <w:autoRedefine/>
    <w:qFormat/>
    <w:uiPriority w:val="0"/>
  </w:style>
  <w:style w:type="character" w:customStyle="1" w:styleId="60">
    <w:name w:val="price6"/>
    <w:basedOn w:val="28"/>
    <w:autoRedefine/>
    <w:qFormat/>
    <w:uiPriority w:val="0"/>
    <w:rPr>
      <w:rFonts w:hint="eastAsia" w:ascii="Verdana" w:hAnsi="Verdana" w:cs="Verdana"/>
      <w:b/>
      <w:bCs/>
      <w:color w:val="E50100"/>
      <w:sz w:val="18"/>
      <w:szCs w:val="18"/>
    </w:rPr>
  </w:style>
  <w:style w:type="character" w:customStyle="1" w:styleId="61">
    <w:name w:val="price7"/>
    <w:basedOn w:val="28"/>
    <w:autoRedefine/>
    <w:qFormat/>
    <w:uiPriority w:val="0"/>
    <w:rPr>
      <w:color w:val="E50100"/>
    </w:rPr>
  </w:style>
  <w:style w:type="character" w:customStyle="1" w:styleId="62">
    <w:name w:val="price8"/>
    <w:basedOn w:val="28"/>
    <w:autoRedefine/>
    <w:qFormat/>
    <w:uiPriority w:val="0"/>
  </w:style>
  <w:style w:type="character" w:customStyle="1" w:styleId="63">
    <w:name w:val="price9"/>
    <w:basedOn w:val="28"/>
    <w:autoRedefine/>
    <w:qFormat/>
    <w:uiPriority w:val="0"/>
  </w:style>
  <w:style w:type="character" w:customStyle="1" w:styleId="64">
    <w:name w:val="price10"/>
    <w:basedOn w:val="28"/>
    <w:autoRedefine/>
    <w:qFormat/>
    <w:uiPriority w:val="0"/>
    <w:rPr>
      <w:rFonts w:hint="default" w:ascii="Verdana" w:hAnsi="Verdana" w:cs="Verdana"/>
      <w:color w:val="E50100"/>
    </w:rPr>
  </w:style>
  <w:style w:type="character" w:customStyle="1" w:styleId="65">
    <w:name w:val="price11"/>
    <w:basedOn w:val="28"/>
    <w:autoRedefine/>
    <w:qFormat/>
    <w:uiPriority w:val="0"/>
  </w:style>
  <w:style w:type="character" w:customStyle="1" w:styleId="66">
    <w:name w:val="name"/>
    <w:basedOn w:val="28"/>
    <w:autoRedefine/>
    <w:qFormat/>
    <w:uiPriority w:val="0"/>
  </w:style>
  <w:style w:type="character" w:customStyle="1" w:styleId="67">
    <w:name w:val="name1"/>
    <w:basedOn w:val="28"/>
    <w:autoRedefine/>
    <w:qFormat/>
    <w:uiPriority w:val="0"/>
  </w:style>
  <w:style w:type="character" w:customStyle="1" w:styleId="68">
    <w:name w:val="name2"/>
    <w:basedOn w:val="28"/>
    <w:autoRedefine/>
    <w:qFormat/>
    <w:uiPriority w:val="0"/>
    <w:rPr>
      <w:color w:val="808080"/>
    </w:rPr>
  </w:style>
  <w:style w:type="character" w:customStyle="1" w:styleId="69">
    <w:name w:val="name3"/>
    <w:basedOn w:val="28"/>
    <w:autoRedefine/>
    <w:qFormat/>
    <w:uiPriority w:val="0"/>
  </w:style>
  <w:style w:type="character" w:customStyle="1" w:styleId="70">
    <w:name w:val="name4"/>
    <w:basedOn w:val="28"/>
    <w:autoRedefine/>
    <w:qFormat/>
    <w:uiPriority w:val="0"/>
  </w:style>
  <w:style w:type="character" w:customStyle="1" w:styleId="71">
    <w:name w:val="name5"/>
    <w:basedOn w:val="28"/>
    <w:autoRedefine/>
    <w:qFormat/>
    <w:uiPriority w:val="0"/>
    <w:rPr>
      <w:color w:val="666666"/>
    </w:rPr>
  </w:style>
  <w:style w:type="character" w:customStyle="1" w:styleId="72">
    <w:name w:val="name6"/>
    <w:basedOn w:val="28"/>
    <w:autoRedefine/>
    <w:qFormat/>
    <w:uiPriority w:val="0"/>
    <w:rPr>
      <w:color w:val="808080"/>
    </w:rPr>
  </w:style>
  <w:style w:type="character" w:customStyle="1" w:styleId="73">
    <w:name w:val="name7"/>
    <w:basedOn w:val="28"/>
    <w:autoRedefine/>
    <w:qFormat/>
    <w:uiPriority w:val="0"/>
    <w:rPr>
      <w:color w:val="666666"/>
    </w:rPr>
  </w:style>
  <w:style w:type="character" w:customStyle="1" w:styleId="74">
    <w:name w:val="indicator"/>
    <w:basedOn w:val="28"/>
    <w:autoRedefine/>
    <w:qFormat/>
    <w:uiPriority w:val="0"/>
    <w:rPr>
      <w:color w:val="808080"/>
    </w:rPr>
  </w:style>
  <w:style w:type="character" w:customStyle="1" w:styleId="75">
    <w:name w:val="marketprice"/>
    <w:basedOn w:val="28"/>
    <w:autoRedefine/>
    <w:qFormat/>
    <w:uiPriority w:val="0"/>
  </w:style>
  <w:style w:type="character" w:customStyle="1" w:styleId="76">
    <w:name w:val="marketprice1"/>
    <w:basedOn w:val="28"/>
    <w:autoRedefine/>
    <w:qFormat/>
    <w:uiPriority w:val="0"/>
  </w:style>
  <w:style w:type="character" w:customStyle="1" w:styleId="77">
    <w:name w:val="marketprice2"/>
    <w:basedOn w:val="28"/>
    <w:autoRedefine/>
    <w:qFormat/>
    <w:uiPriority w:val="0"/>
  </w:style>
  <w:style w:type="character" w:customStyle="1" w:styleId="78">
    <w:name w:val="marketprice3"/>
    <w:basedOn w:val="28"/>
    <w:autoRedefine/>
    <w:qFormat/>
    <w:uiPriority w:val="0"/>
  </w:style>
  <w:style w:type="character" w:customStyle="1" w:styleId="79">
    <w:name w:val="marketprice4"/>
    <w:basedOn w:val="28"/>
    <w:autoRedefine/>
    <w:qFormat/>
    <w:uiPriority w:val="0"/>
  </w:style>
  <w:style w:type="character" w:customStyle="1" w:styleId="80">
    <w:name w:val="marketprice5"/>
    <w:basedOn w:val="28"/>
    <w:autoRedefine/>
    <w:qFormat/>
    <w:uiPriority w:val="0"/>
  </w:style>
  <w:style w:type="character" w:customStyle="1" w:styleId="81">
    <w:name w:val="marketprice6"/>
    <w:basedOn w:val="28"/>
    <w:autoRedefine/>
    <w:qFormat/>
    <w:uiPriority w:val="0"/>
    <w:rPr>
      <w:rFonts w:hint="default" w:ascii="Verdana" w:hAnsi="Verdana" w:cs="Verdana"/>
      <w:strike/>
      <w:color w:val="808080"/>
    </w:rPr>
  </w:style>
  <w:style w:type="character" w:customStyle="1" w:styleId="82">
    <w:name w:val="marketprice7"/>
    <w:basedOn w:val="28"/>
    <w:autoRedefine/>
    <w:qFormat/>
    <w:uiPriority w:val="0"/>
    <w:rPr>
      <w:rFonts w:hint="default" w:ascii="Verdana" w:hAnsi="Verdana" w:cs="Verdana"/>
      <w:strike/>
      <w:color w:val="808080"/>
    </w:rPr>
  </w:style>
  <w:style w:type="character" w:customStyle="1" w:styleId="83">
    <w:name w:val="price21"/>
    <w:basedOn w:val="28"/>
    <w:autoRedefine/>
    <w:qFormat/>
    <w:uiPriority w:val="0"/>
    <w:rPr>
      <w:color w:val="808080"/>
    </w:rPr>
  </w:style>
  <w:style w:type="character" w:customStyle="1" w:styleId="84">
    <w:name w:val="price22"/>
    <w:basedOn w:val="28"/>
    <w:autoRedefine/>
    <w:qFormat/>
    <w:uiPriority w:val="0"/>
    <w:rPr>
      <w:color w:val="808080"/>
    </w:rPr>
  </w:style>
  <w:style w:type="character" w:customStyle="1" w:styleId="85">
    <w:name w:val="t1"/>
    <w:basedOn w:val="28"/>
    <w:autoRedefine/>
    <w:qFormat/>
    <w:uiPriority w:val="0"/>
    <w:rPr>
      <w:color w:val="666666"/>
    </w:rPr>
  </w:style>
  <w:style w:type="character" w:customStyle="1" w:styleId="86">
    <w:name w:val="prev9"/>
    <w:basedOn w:val="28"/>
    <w:autoRedefine/>
    <w:qFormat/>
    <w:uiPriority w:val="0"/>
  </w:style>
  <w:style w:type="character" w:customStyle="1" w:styleId="87">
    <w:name w:val="prev10"/>
    <w:basedOn w:val="28"/>
    <w:autoRedefine/>
    <w:qFormat/>
    <w:uiPriority w:val="0"/>
  </w:style>
  <w:style w:type="character" w:customStyle="1" w:styleId="88">
    <w:name w:val="prev11"/>
    <w:basedOn w:val="28"/>
    <w:autoRedefine/>
    <w:qFormat/>
    <w:uiPriority w:val="0"/>
  </w:style>
  <w:style w:type="character" w:customStyle="1" w:styleId="89">
    <w:name w:val="c2"/>
    <w:basedOn w:val="28"/>
    <w:autoRedefine/>
    <w:qFormat/>
    <w:uiPriority w:val="0"/>
  </w:style>
  <w:style w:type="character" w:customStyle="1" w:styleId="90">
    <w:name w:val="page6"/>
    <w:basedOn w:val="28"/>
    <w:autoRedefine/>
    <w:qFormat/>
    <w:uiPriority w:val="0"/>
    <w:rPr>
      <w:color w:val="808080"/>
    </w:rPr>
  </w:style>
  <w:style w:type="character" w:customStyle="1" w:styleId="91">
    <w:name w:val="page7"/>
    <w:basedOn w:val="28"/>
    <w:autoRedefine/>
    <w:qFormat/>
    <w:uiPriority w:val="0"/>
    <w:rPr>
      <w:color w:val="808080"/>
    </w:rPr>
  </w:style>
  <w:style w:type="character" w:customStyle="1" w:styleId="92">
    <w:name w:val="page8"/>
    <w:basedOn w:val="28"/>
    <w:autoRedefine/>
    <w:qFormat/>
    <w:uiPriority w:val="0"/>
    <w:rPr>
      <w:color w:val="808080"/>
    </w:rPr>
  </w:style>
  <w:style w:type="character" w:customStyle="1" w:styleId="93">
    <w:name w:val="next3"/>
    <w:basedOn w:val="28"/>
    <w:autoRedefine/>
    <w:qFormat/>
    <w:uiPriority w:val="0"/>
  </w:style>
  <w:style w:type="character" w:customStyle="1" w:styleId="94">
    <w:name w:val="next4"/>
    <w:basedOn w:val="28"/>
    <w:autoRedefine/>
    <w:qFormat/>
    <w:uiPriority w:val="0"/>
  </w:style>
  <w:style w:type="character" w:customStyle="1" w:styleId="95">
    <w:name w:val="next5"/>
    <w:basedOn w:val="28"/>
    <w:autoRedefine/>
    <w:qFormat/>
    <w:uiPriority w:val="0"/>
  </w:style>
  <w:style w:type="character" w:customStyle="1" w:styleId="96">
    <w:name w:val="star3"/>
    <w:basedOn w:val="28"/>
    <w:autoRedefine/>
    <w:qFormat/>
    <w:uiPriority w:val="0"/>
  </w:style>
  <w:style w:type="character" w:customStyle="1" w:styleId="97">
    <w:name w:val="star5"/>
    <w:basedOn w:val="28"/>
    <w:autoRedefine/>
    <w:qFormat/>
    <w:uiPriority w:val="0"/>
  </w:style>
  <w:style w:type="character" w:customStyle="1" w:styleId="98">
    <w:name w:val="star51"/>
    <w:basedOn w:val="28"/>
    <w:autoRedefine/>
    <w:qFormat/>
    <w:uiPriority w:val="0"/>
  </w:style>
  <w:style w:type="character" w:customStyle="1" w:styleId="99">
    <w:name w:val="star52"/>
    <w:basedOn w:val="28"/>
    <w:autoRedefine/>
    <w:qFormat/>
    <w:uiPriority w:val="0"/>
  </w:style>
  <w:style w:type="character" w:customStyle="1" w:styleId="100">
    <w:name w:val="timeleft"/>
    <w:basedOn w:val="28"/>
    <w:autoRedefine/>
    <w:qFormat/>
    <w:uiPriority w:val="0"/>
    <w:rPr>
      <w:color w:val="333333"/>
      <w:shd w:val="clear" w:color="auto" w:fill="FDF1CB"/>
    </w:rPr>
  </w:style>
  <w:style w:type="character" w:customStyle="1" w:styleId="101">
    <w:name w:val="num6"/>
    <w:basedOn w:val="28"/>
    <w:autoRedefine/>
    <w:qFormat/>
    <w:uiPriority w:val="0"/>
    <w:rPr>
      <w:color w:val="808080"/>
    </w:rPr>
  </w:style>
  <w:style w:type="character" w:customStyle="1" w:styleId="102">
    <w:name w:val="star2"/>
    <w:basedOn w:val="28"/>
    <w:autoRedefine/>
    <w:qFormat/>
    <w:uiPriority w:val="0"/>
  </w:style>
  <w:style w:type="character" w:customStyle="1" w:styleId="103">
    <w:name w:val="flag"/>
    <w:basedOn w:val="28"/>
    <w:autoRedefine/>
    <w:qFormat/>
    <w:uiPriority w:val="0"/>
  </w:style>
  <w:style w:type="character" w:customStyle="1" w:styleId="104">
    <w:name w:val="flag1"/>
    <w:basedOn w:val="28"/>
    <w:autoRedefine/>
    <w:qFormat/>
    <w:uiPriority w:val="0"/>
  </w:style>
  <w:style w:type="character" w:customStyle="1" w:styleId="105">
    <w:name w:val="flag2"/>
    <w:basedOn w:val="28"/>
    <w:autoRedefine/>
    <w:qFormat/>
    <w:uiPriority w:val="0"/>
  </w:style>
  <w:style w:type="character" w:customStyle="1" w:styleId="106">
    <w:name w:val="flag3"/>
    <w:basedOn w:val="28"/>
    <w:autoRedefine/>
    <w:qFormat/>
    <w:uiPriority w:val="0"/>
  </w:style>
  <w:style w:type="character" w:customStyle="1" w:styleId="107">
    <w:name w:val="valid"/>
    <w:basedOn w:val="28"/>
    <w:autoRedefine/>
    <w:qFormat/>
    <w:uiPriority w:val="0"/>
  </w:style>
  <w:style w:type="character" w:customStyle="1" w:styleId="108">
    <w:name w:val="valid1"/>
    <w:basedOn w:val="28"/>
    <w:autoRedefine/>
    <w:qFormat/>
    <w:uiPriority w:val="0"/>
  </w:style>
  <w:style w:type="character" w:customStyle="1" w:styleId="109">
    <w:name w:val="valid2"/>
    <w:basedOn w:val="28"/>
    <w:autoRedefine/>
    <w:qFormat/>
    <w:uiPriority w:val="0"/>
  </w:style>
  <w:style w:type="character" w:customStyle="1" w:styleId="110">
    <w:name w:val="valid3"/>
    <w:basedOn w:val="28"/>
    <w:autoRedefine/>
    <w:qFormat/>
    <w:uiPriority w:val="0"/>
  </w:style>
  <w:style w:type="character" w:customStyle="1" w:styleId="111">
    <w:name w:val="gift"/>
    <w:basedOn w:val="28"/>
    <w:autoRedefine/>
    <w:qFormat/>
    <w:uiPriority w:val="0"/>
    <w:rPr>
      <w:color w:val="FFFFFF"/>
      <w:shd w:val="clear" w:color="auto" w:fill="E4393C"/>
    </w:rPr>
  </w:style>
  <w:style w:type="character" w:customStyle="1" w:styleId="112">
    <w:name w:val="coupon"/>
    <w:basedOn w:val="28"/>
    <w:autoRedefine/>
    <w:qFormat/>
    <w:uiPriority w:val="0"/>
    <w:rPr>
      <w:color w:val="FFFFFF"/>
      <w:shd w:val="clear" w:color="auto" w:fill="CC0000"/>
    </w:rPr>
  </w:style>
  <w:style w:type="character" w:customStyle="1" w:styleId="113">
    <w:name w:val="star"/>
    <w:basedOn w:val="28"/>
    <w:autoRedefine/>
    <w:qFormat/>
    <w:uiPriority w:val="0"/>
  </w:style>
  <w:style w:type="character" w:customStyle="1" w:styleId="114">
    <w:name w:val="star1"/>
    <w:basedOn w:val="28"/>
    <w:autoRedefine/>
    <w:qFormat/>
    <w:uiPriority w:val="0"/>
  </w:style>
  <w:style w:type="character" w:customStyle="1" w:styleId="115">
    <w:name w:val="star11"/>
    <w:basedOn w:val="28"/>
    <w:autoRedefine/>
    <w:qFormat/>
    <w:uiPriority w:val="0"/>
  </w:style>
  <w:style w:type="character" w:customStyle="1" w:styleId="116">
    <w:name w:val="star12"/>
    <w:basedOn w:val="28"/>
    <w:autoRedefine/>
    <w:qFormat/>
    <w:uiPriority w:val="0"/>
  </w:style>
  <w:style w:type="character" w:customStyle="1" w:styleId="117">
    <w:name w:val="star13"/>
    <w:basedOn w:val="28"/>
    <w:autoRedefine/>
    <w:qFormat/>
    <w:uiPriority w:val="0"/>
  </w:style>
  <w:style w:type="character" w:customStyle="1" w:styleId="118">
    <w:name w:val="star4"/>
    <w:basedOn w:val="28"/>
    <w:autoRedefine/>
    <w:qFormat/>
    <w:uiPriority w:val="0"/>
  </w:style>
  <w:style w:type="character" w:customStyle="1" w:styleId="119">
    <w:name w:val="star41"/>
    <w:basedOn w:val="28"/>
    <w:autoRedefine/>
    <w:qFormat/>
    <w:uiPriority w:val="0"/>
  </w:style>
  <w:style w:type="character" w:customStyle="1" w:styleId="120">
    <w:name w:val="star42"/>
    <w:basedOn w:val="28"/>
    <w:autoRedefine/>
    <w:qFormat/>
    <w:uiPriority w:val="0"/>
  </w:style>
  <w:style w:type="character" w:customStyle="1" w:styleId="121">
    <w:name w:val="first-child"/>
    <w:basedOn w:val="28"/>
    <w:autoRedefine/>
    <w:qFormat/>
    <w:uiPriority w:val="0"/>
  </w:style>
  <w:style w:type="character" w:customStyle="1" w:styleId="122">
    <w:name w:val="before"/>
    <w:basedOn w:val="28"/>
    <w:autoRedefine/>
    <w:qFormat/>
    <w:uiPriority w:val="0"/>
  </w:style>
  <w:style w:type="character" w:customStyle="1" w:styleId="123">
    <w:name w:val="img"/>
    <w:basedOn w:val="28"/>
    <w:autoRedefine/>
    <w:qFormat/>
    <w:uiPriority w:val="0"/>
  </w:style>
  <w:style w:type="character" w:customStyle="1" w:styleId="124">
    <w:name w:val="img1"/>
    <w:basedOn w:val="28"/>
    <w:autoRedefine/>
    <w:qFormat/>
    <w:uiPriority w:val="0"/>
  </w:style>
  <w:style w:type="character" w:customStyle="1" w:styleId="125">
    <w:name w:val="redfilefwwh"/>
    <w:basedOn w:val="28"/>
    <w:autoRedefine/>
    <w:qFormat/>
    <w:uiPriority w:val="0"/>
    <w:rPr>
      <w:color w:val="BA2636"/>
      <w:sz w:val="18"/>
      <w:szCs w:val="18"/>
    </w:rPr>
  </w:style>
  <w:style w:type="character" w:customStyle="1" w:styleId="126">
    <w:name w:val="next"/>
    <w:basedOn w:val="28"/>
    <w:autoRedefine/>
    <w:qFormat/>
    <w:uiPriority w:val="0"/>
    <w:rPr>
      <w:rFonts w:ascii="微软雅黑" w:hAnsi="微软雅黑" w:eastAsia="微软雅黑" w:cs="微软雅黑"/>
      <w:sz w:val="21"/>
      <w:szCs w:val="21"/>
    </w:rPr>
  </w:style>
  <w:style w:type="character" w:customStyle="1" w:styleId="127">
    <w:name w:val="next1"/>
    <w:basedOn w:val="28"/>
    <w:autoRedefine/>
    <w:qFormat/>
    <w:uiPriority w:val="0"/>
    <w:rPr>
      <w:color w:val="888888"/>
    </w:rPr>
  </w:style>
  <w:style w:type="character" w:customStyle="1" w:styleId="128">
    <w:name w:val="prev2"/>
    <w:basedOn w:val="28"/>
    <w:autoRedefine/>
    <w:qFormat/>
    <w:uiPriority w:val="0"/>
    <w:rPr>
      <w:rFonts w:hint="eastAsia" w:ascii="微软雅黑" w:hAnsi="微软雅黑" w:eastAsia="微软雅黑" w:cs="微软雅黑"/>
      <w:sz w:val="21"/>
      <w:szCs w:val="21"/>
    </w:rPr>
  </w:style>
  <w:style w:type="character" w:customStyle="1" w:styleId="129">
    <w:name w:val="prev3"/>
    <w:basedOn w:val="28"/>
    <w:autoRedefine/>
    <w:qFormat/>
    <w:uiPriority w:val="0"/>
    <w:rPr>
      <w:color w:val="888888"/>
    </w:rPr>
  </w:style>
  <w:style w:type="character" w:customStyle="1" w:styleId="130">
    <w:name w:val="gjfg"/>
    <w:basedOn w:val="28"/>
    <w:autoRedefine/>
    <w:qFormat/>
    <w:uiPriority w:val="0"/>
  </w:style>
  <w:style w:type="character" w:customStyle="1" w:styleId="131">
    <w:name w:val="displayarti"/>
    <w:basedOn w:val="28"/>
    <w:autoRedefine/>
    <w:qFormat/>
    <w:uiPriority w:val="0"/>
    <w:rPr>
      <w:color w:val="FFFFFF"/>
      <w:shd w:val="clear" w:color="auto" w:fill="A00000"/>
    </w:rPr>
  </w:style>
  <w:style w:type="character" w:customStyle="1" w:styleId="132">
    <w:name w:val="redfilenumber"/>
    <w:basedOn w:val="28"/>
    <w:autoRedefine/>
    <w:qFormat/>
    <w:uiPriority w:val="0"/>
    <w:rPr>
      <w:color w:val="BA2636"/>
      <w:sz w:val="18"/>
      <w:szCs w:val="18"/>
    </w:rPr>
  </w:style>
  <w:style w:type="character" w:customStyle="1" w:styleId="133">
    <w:name w:val="cfdate"/>
    <w:basedOn w:val="28"/>
    <w:autoRedefine/>
    <w:qFormat/>
    <w:uiPriority w:val="0"/>
    <w:rPr>
      <w:color w:val="333333"/>
      <w:sz w:val="18"/>
      <w:szCs w:val="18"/>
    </w:rPr>
  </w:style>
  <w:style w:type="character" w:customStyle="1" w:styleId="134">
    <w:name w:val="qxdate"/>
    <w:basedOn w:val="28"/>
    <w:autoRedefine/>
    <w:qFormat/>
    <w:uiPriority w:val="0"/>
    <w:rPr>
      <w:color w:val="333333"/>
      <w:sz w:val="18"/>
      <w:szCs w:val="18"/>
    </w:rPr>
  </w:style>
  <w:style w:type="character" w:customStyle="1" w:styleId="135">
    <w:name w:val="next2"/>
    <w:basedOn w:val="28"/>
    <w:autoRedefine/>
    <w:qFormat/>
    <w:uiPriority w:val="0"/>
    <w:rPr>
      <w:rFonts w:ascii="微软雅黑" w:hAnsi="微软雅黑" w:eastAsia="微软雅黑" w:cs="微软雅黑"/>
      <w:sz w:val="21"/>
      <w:szCs w:val="21"/>
    </w:rPr>
  </w:style>
  <w:style w:type="character" w:customStyle="1" w:styleId="136">
    <w:name w:val="prev"/>
    <w:basedOn w:val="28"/>
    <w:autoRedefine/>
    <w:qFormat/>
    <w:uiPriority w:val="0"/>
    <w:rPr>
      <w:rFonts w:hint="eastAsia" w:ascii="微软雅黑" w:hAnsi="微软雅黑" w:eastAsia="微软雅黑" w:cs="微软雅黑"/>
      <w:sz w:val="21"/>
      <w:szCs w:val="21"/>
    </w:rPr>
  </w:style>
  <w:style w:type="character" w:customStyle="1" w:styleId="137">
    <w:name w:val="prev1"/>
    <w:basedOn w:val="28"/>
    <w:autoRedefine/>
    <w:qFormat/>
    <w:uiPriority w:val="0"/>
    <w:rPr>
      <w:color w:val="888888"/>
    </w:rPr>
  </w:style>
  <w:style w:type="paragraph" w:customStyle="1" w:styleId="138">
    <w:name w:val="列出段落1"/>
    <w:basedOn w:val="1"/>
    <w:autoRedefine/>
    <w:qFormat/>
    <w:uiPriority w:val="99"/>
    <w:pPr>
      <w:ind w:firstLine="420" w:firstLineChars="200"/>
    </w:pPr>
  </w:style>
  <w:style w:type="paragraph" w:customStyle="1" w:styleId="139">
    <w:name w:val="Other|1"/>
    <w:basedOn w:val="1"/>
    <w:autoRedefine/>
    <w:qFormat/>
    <w:uiPriority w:val="0"/>
    <w:pPr>
      <w:ind w:firstLine="260"/>
    </w:pPr>
    <w:rPr>
      <w:rFonts w:ascii="宋体" w:hAnsi="宋体" w:cs="宋体"/>
      <w:sz w:val="18"/>
      <w:szCs w:val="18"/>
      <w:lang w:val="zh-TW" w:eastAsia="zh-TW" w:bidi="zh-TW"/>
    </w:rPr>
  </w:style>
  <w:style w:type="character" w:customStyle="1" w:styleId="140">
    <w:name w:val="font101"/>
    <w:basedOn w:val="28"/>
    <w:autoRedefine/>
    <w:qFormat/>
    <w:uiPriority w:val="0"/>
    <w:rPr>
      <w:rFonts w:hint="eastAsia" w:ascii="宋体" w:hAnsi="宋体" w:eastAsia="宋体" w:cs="宋体"/>
      <w:color w:val="000000"/>
      <w:sz w:val="24"/>
      <w:szCs w:val="24"/>
      <w:u w:val="none"/>
    </w:rPr>
  </w:style>
  <w:style w:type="paragraph" w:styleId="141">
    <w:name w:val="List Paragraph"/>
    <w:basedOn w:val="1"/>
    <w:autoRedefine/>
    <w:qFormat/>
    <w:uiPriority w:val="0"/>
  </w:style>
  <w:style w:type="paragraph" w:customStyle="1" w:styleId="142">
    <w:name w:val="_Style 3"/>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3">
    <w:name w:val="首行缩进"/>
    <w:basedOn w:val="1"/>
    <w:autoRedefine/>
    <w:qFormat/>
    <w:uiPriority w:val="0"/>
    <w:pPr>
      <w:spacing w:line="360" w:lineRule="auto"/>
      <w:ind w:firstLine="480" w:firstLineChars="200"/>
    </w:pPr>
  </w:style>
  <w:style w:type="paragraph" w:customStyle="1" w:styleId="144">
    <w:name w:val="样式 首行缩进:  2 字符"/>
    <w:basedOn w:val="1"/>
    <w:autoRedefine/>
    <w:qFormat/>
    <w:uiPriority w:val="0"/>
    <w:pPr>
      <w:spacing w:line="360" w:lineRule="auto"/>
      <w:ind w:firstLine="200" w:firstLineChars="200"/>
    </w:pPr>
    <w:rPr>
      <w:rFonts w:ascii="宋体" w:cs="宋体"/>
      <w:sz w:val="24"/>
    </w:rPr>
  </w:style>
  <w:style w:type="character" w:customStyle="1" w:styleId="145">
    <w:name w:val="layui-layer-tabnow"/>
    <w:basedOn w:val="28"/>
    <w:autoRedefine/>
    <w:qFormat/>
    <w:uiPriority w:val="0"/>
    <w:rPr>
      <w:bdr w:val="single" w:color="CCCCCC" w:sz="6" w:space="0"/>
      <w:shd w:val="clear" w:color="auto" w:fill="FFFFFF"/>
    </w:rPr>
  </w:style>
  <w:style w:type="paragraph" w:styleId="146">
    <w:name w:val="No Spacing"/>
    <w:basedOn w:val="1"/>
    <w:autoRedefine/>
    <w:qFormat/>
    <w:uiPriority w:val="0"/>
  </w:style>
  <w:style w:type="character" w:customStyle="1" w:styleId="147">
    <w:name w:val="NormalCharacter"/>
    <w:autoRedefine/>
    <w:qFormat/>
    <w:uiPriority w:val="0"/>
  </w:style>
  <w:style w:type="paragraph" w:customStyle="1" w:styleId="148">
    <w:name w:val="列表段落1"/>
    <w:basedOn w:val="1"/>
    <w:autoRedefine/>
    <w:qFormat/>
    <w:uiPriority w:val="34"/>
    <w:pPr>
      <w:ind w:firstLine="420" w:firstLineChars="200"/>
    </w:pPr>
  </w:style>
  <w:style w:type="character" w:customStyle="1" w:styleId="149">
    <w:name w:val="标题 1 Char1"/>
    <w:autoRedefine/>
    <w:qFormat/>
    <w:uiPriority w:val="0"/>
    <w:rPr>
      <w:rFonts w:ascii="Times New Roman" w:hAnsi="Times New Roman" w:eastAsia="宋体" w:cs="Times New Roman"/>
      <w:b/>
      <w:bCs/>
      <w:kern w:val="44"/>
      <w:sz w:val="32"/>
      <w:szCs w:val="44"/>
    </w:rPr>
  </w:style>
  <w:style w:type="paragraph" w:customStyle="1" w:styleId="150">
    <w:name w:val="p0"/>
    <w:basedOn w:val="1"/>
    <w:autoRedefine/>
    <w:qFormat/>
    <w:uiPriority w:val="0"/>
    <w:pPr>
      <w:widowControl/>
    </w:pPr>
    <w:rPr>
      <w:rFonts w:ascii="Times New Roman" w:hAnsi="Times New Roman" w:eastAsia="宋体" w:cs="Times New Roman"/>
      <w:kern w:val="0"/>
      <w:szCs w:val="21"/>
    </w:rPr>
  </w:style>
  <w:style w:type="paragraph" w:customStyle="1" w:styleId="151">
    <w:name w:val="列出段落2"/>
    <w:basedOn w:val="1"/>
    <w:next w:val="8"/>
    <w:autoRedefine/>
    <w:qFormat/>
    <w:uiPriority w:val="0"/>
    <w:pPr>
      <w:ind w:firstLine="420" w:firstLineChars="200"/>
    </w:pPr>
  </w:style>
  <w:style w:type="paragraph" w:styleId="152">
    <w:name w:val="Quote"/>
    <w:basedOn w:val="1"/>
    <w:next w:val="1"/>
    <w:autoRedefine/>
    <w:qFormat/>
    <w:uiPriority w:val="0"/>
    <w:pPr>
      <w:wordWrap w:val="0"/>
      <w:spacing w:before="200" w:after="160"/>
      <w:ind w:left="864" w:right="864"/>
      <w:jc w:val="center"/>
    </w:pPr>
    <w:rPr>
      <w:rFonts w:ascii="Times New Roman"/>
      <w:i/>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25116</Words>
  <Characters>28494</Characters>
  <Lines>45</Lines>
  <Paragraphs>77</Paragraphs>
  <TotalTime>0</TotalTime>
  <ScaleCrop>false</ScaleCrop>
  <LinksUpToDate>false</LinksUpToDate>
  <CharactersWithSpaces>28687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Administrator.USER-20170814MU</dc:creator>
  <cp:lastModifiedBy>itachi</cp:lastModifiedBy>
  <cp:lastPrinted>2024-01-04T07:02:00Z</cp:lastPrinted>
  <dcterms:modified xsi:type="dcterms:W3CDTF">2024-01-10T00:59:02Z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2CC16DD6086B4DDC9E0E99D63323B2E3</vt:lpwstr>
  </property>
</Properties>
</file>